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7D" w:rsidRDefault="007C657D" w:rsidP="005317DD">
      <w:pPr>
        <w:rPr>
          <w:rFonts w:cs="Tahoma"/>
          <w:b/>
        </w:rPr>
      </w:pPr>
    </w:p>
    <w:p w:rsidR="007C657D" w:rsidRPr="005317DD" w:rsidRDefault="007C657D" w:rsidP="000E18F6">
      <w:pPr>
        <w:jc w:val="center"/>
        <w:rPr>
          <w:rFonts w:cs="Tahoma"/>
          <w:b/>
          <w:sz w:val="24"/>
          <w:szCs w:val="24"/>
        </w:rPr>
      </w:pPr>
      <w:r w:rsidRPr="005317DD">
        <w:rPr>
          <w:rFonts w:cs="Tahoma"/>
          <w:b/>
          <w:sz w:val="24"/>
          <w:szCs w:val="24"/>
        </w:rPr>
        <w:t>Objawy menopauzy – jak je złagodzić?</w:t>
      </w:r>
    </w:p>
    <w:p w:rsidR="007C657D" w:rsidRDefault="007C657D" w:rsidP="00BB0AA3">
      <w:pPr>
        <w:jc w:val="both"/>
        <w:rPr>
          <w:rFonts w:cs="Tahoma"/>
          <w:b/>
        </w:rPr>
      </w:pPr>
      <w:r>
        <w:rPr>
          <w:rFonts w:cs="Tahoma"/>
          <w:b/>
        </w:rPr>
        <w:t xml:space="preserve">Menopauza </w:t>
      </w:r>
      <w:r w:rsidRPr="00862A04">
        <w:rPr>
          <w:rFonts w:cs="Tahoma"/>
          <w:b/>
        </w:rPr>
        <w:t xml:space="preserve">to </w:t>
      </w:r>
      <w:r>
        <w:rPr>
          <w:rFonts w:cs="Tahoma"/>
          <w:b/>
        </w:rPr>
        <w:t>naturalny, nieodłączny element cyklu biologicznego, który daje o sobie znać</w:t>
      </w:r>
      <w:r>
        <w:rPr>
          <w:rFonts w:cs="Tahoma"/>
          <w:b/>
        </w:rPr>
        <w:br/>
        <w:t>w postaci charakterystycznych objawów</w:t>
      </w:r>
      <w:r w:rsidRPr="00862A04">
        <w:rPr>
          <w:rFonts w:cs="Tahoma"/>
          <w:b/>
        </w:rPr>
        <w:t xml:space="preserve">. </w:t>
      </w:r>
      <w:r>
        <w:rPr>
          <w:rFonts w:cs="Tahoma"/>
          <w:b/>
        </w:rPr>
        <w:t>W jaki sposób sobie z nimi radzić, podpowiadamy to</w:t>
      </w:r>
      <w:r>
        <w:rPr>
          <w:rFonts w:cs="Tahoma"/>
          <w:b/>
        </w:rPr>
        <w:br/>
        <w:t>z ekspertem programu „Zdrowa ONA” – ginekologiem, seksuologiem prof. dr n. med. Violettą Skrzypulec-Plintą.</w:t>
      </w:r>
    </w:p>
    <w:p w:rsidR="007C657D" w:rsidRDefault="007C657D" w:rsidP="00EB2EA8">
      <w:pPr>
        <w:jc w:val="center"/>
        <w:rPr>
          <w:rFonts w:cs="Tahoma"/>
        </w:rPr>
      </w:pPr>
      <w:r>
        <w:rPr>
          <w:rFonts w:cs="Tahoma"/>
        </w:rPr>
        <w:t>Najczęstsze o</w:t>
      </w:r>
      <w:r w:rsidRPr="00EB2EA8">
        <w:rPr>
          <w:rFonts w:cs="Tahoma"/>
        </w:rPr>
        <w:t>bjawy menopauzy zdaniem kobiet</w:t>
      </w:r>
      <w:r>
        <w:rPr>
          <w:rStyle w:val="Odwoanieprzypisudolnego"/>
        </w:rPr>
        <w:footnoteReference w:id="1"/>
      </w:r>
      <w:r w:rsidRPr="00EB2EA8">
        <w:rPr>
          <w:rFonts w:cs="Tahoma"/>
        </w:rPr>
        <w:t>:</w:t>
      </w:r>
    </w:p>
    <w:p w:rsidR="007C657D" w:rsidRPr="00EB2EA8" w:rsidRDefault="00885D30" w:rsidP="00EB2EA8">
      <w:pPr>
        <w:jc w:val="center"/>
        <w:rPr>
          <w:rFonts w:cs="Tahoma"/>
          <w:b/>
        </w:rPr>
      </w:pPr>
      <w:r>
        <w:rPr>
          <w:rFonts w:cs="Tahoma"/>
          <w:b/>
          <w:noProof/>
          <w:color w:val="D0DDEC"/>
          <w:lang w:eastAsia="pl-PL"/>
        </w:rPr>
        <w:drawing>
          <wp:inline distT="0" distB="0" distL="0" distR="0">
            <wp:extent cx="5762625" cy="2628900"/>
            <wp:effectExtent l="0" t="0" r="0" b="0"/>
            <wp:docPr id="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657D" w:rsidRPr="00CD6139" w:rsidRDefault="007C657D" w:rsidP="00BB0AA3">
      <w:pPr>
        <w:jc w:val="both"/>
        <w:rPr>
          <w:rFonts w:cs="Tahoma"/>
          <w:i/>
        </w:rPr>
      </w:pPr>
      <w:r w:rsidRPr="005028A7">
        <w:rPr>
          <w:rFonts w:cs="Tahoma"/>
          <w:i/>
        </w:rPr>
        <w:t>Objawy menopauzy są bardzo zin</w:t>
      </w:r>
      <w:r>
        <w:rPr>
          <w:rFonts w:cs="Tahoma"/>
          <w:i/>
        </w:rPr>
        <w:t xml:space="preserve">dywidualizowane. Ich występowanie i intensywność są </w:t>
      </w:r>
      <w:r w:rsidRPr="005028A7">
        <w:rPr>
          <w:rFonts w:cs="Tahoma"/>
          <w:i/>
        </w:rPr>
        <w:t xml:space="preserve">zależne od </w:t>
      </w:r>
      <w:r>
        <w:rPr>
          <w:rFonts w:cs="Tahoma"/>
          <w:i/>
        </w:rPr>
        <w:t xml:space="preserve">wielu </w:t>
      </w:r>
      <w:r w:rsidRPr="005028A7">
        <w:rPr>
          <w:rFonts w:cs="Tahoma"/>
          <w:i/>
        </w:rPr>
        <w:t>czynników</w:t>
      </w:r>
      <w:r>
        <w:rPr>
          <w:rFonts w:cs="Tahoma"/>
          <w:i/>
        </w:rPr>
        <w:t>,</w:t>
      </w:r>
      <w:r w:rsidRPr="005028A7">
        <w:rPr>
          <w:rFonts w:cs="Tahoma"/>
          <w:i/>
        </w:rPr>
        <w:t xml:space="preserve"> </w:t>
      </w:r>
      <w:r>
        <w:rPr>
          <w:rFonts w:cs="Tahoma"/>
          <w:i/>
        </w:rPr>
        <w:t>np. uwarunkowań genetycznych</w:t>
      </w:r>
      <w:r w:rsidRPr="005028A7">
        <w:rPr>
          <w:rFonts w:cs="Tahoma"/>
          <w:i/>
        </w:rPr>
        <w:t>,</w:t>
      </w:r>
      <w:r>
        <w:rPr>
          <w:rFonts w:cs="Tahoma"/>
          <w:i/>
        </w:rPr>
        <w:t xml:space="preserve"> czy prowadzonego przez kobietę trybu życia. Z tego powodu j</w:t>
      </w:r>
      <w:r w:rsidRPr="00CD6139">
        <w:rPr>
          <w:rFonts w:cs="Tahoma"/>
          <w:i/>
        </w:rPr>
        <w:t xml:space="preserve">edne kobiety znoszą je łagodnie, dla innych </w:t>
      </w:r>
      <w:r>
        <w:rPr>
          <w:rFonts w:cs="Tahoma"/>
          <w:i/>
        </w:rPr>
        <w:t xml:space="preserve">mogą </w:t>
      </w:r>
      <w:r w:rsidRPr="00EC5180">
        <w:rPr>
          <w:rFonts w:cs="Tahoma"/>
          <w:i/>
          <w:color w:val="000000" w:themeColor="text1"/>
        </w:rPr>
        <w:t xml:space="preserve">stanowić duży dyskomfort. Przyczyną zaburzeń zdrowotnych w okresie menopauzalnym jest stopniowe ograniczenie czynności </w:t>
      </w:r>
      <w:r w:rsidR="00885D30" w:rsidRPr="00EC5180">
        <w:rPr>
          <w:rFonts w:cs="Tahoma"/>
          <w:i/>
          <w:color w:val="000000" w:themeColor="text1"/>
        </w:rPr>
        <w:t>hormonalnej</w:t>
      </w:r>
      <w:r w:rsidR="00885D30" w:rsidRPr="00885D30">
        <w:rPr>
          <w:rFonts w:cs="Tahoma"/>
          <w:i/>
          <w:color w:val="FF0000"/>
        </w:rPr>
        <w:t xml:space="preserve"> </w:t>
      </w:r>
      <w:r w:rsidRPr="0041652B">
        <w:rPr>
          <w:rFonts w:cs="Tahoma"/>
          <w:i/>
        </w:rPr>
        <w:t>jajników, zmniejszenie ilości komórek jajowych i obniżenie poziomu est</w:t>
      </w:r>
      <w:bookmarkStart w:id="0" w:name="_GoBack"/>
      <w:bookmarkEnd w:id="0"/>
      <w:r w:rsidRPr="0041652B">
        <w:rPr>
          <w:rFonts w:cs="Tahoma"/>
          <w:i/>
        </w:rPr>
        <w:t>rogenów. Z niedoborem estrogenów związane są uderzenia gorąca, bezsenność</w:t>
      </w:r>
      <w:r>
        <w:rPr>
          <w:rFonts w:cs="Tahoma"/>
          <w:i/>
        </w:rPr>
        <w:t>,</w:t>
      </w:r>
      <w:r w:rsidRPr="0041652B">
        <w:rPr>
          <w:rFonts w:cs="Tahoma"/>
          <w:i/>
        </w:rPr>
        <w:t xml:space="preserve"> huśtawki nastrojów, a w późniejszym okresie także osteoporoza czy </w:t>
      </w:r>
      <w:r>
        <w:rPr>
          <w:rFonts w:cs="Tahoma"/>
          <w:i/>
        </w:rPr>
        <w:t>suchość</w:t>
      </w:r>
      <w:r w:rsidRPr="0041652B">
        <w:rPr>
          <w:rFonts w:cs="Tahoma"/>
          <w:i/>
        </w:rPr>
        <w:t xml:space="preserve"> pochwy</w:t>
      </w:r>
      <w:r>
        <w:rPr>
          <w:rFonts w:cs="Tahoma"/>
          <w:i/>
        </w:rPr>
        <w:t xml:space="preserve"> – </w:t>
      </w:r>
      <w:r w:rsidRPr="005028A7">
        <w:rPr>
          <w:rFonts w:cs="Tahoma"/>
          <w:b/>
        </w:rPr>
        <w:t xml:space="preserve">tłumaczy </w:t>
      </w:r>
      <w:r>
        <w:rPr>
          <w:rFonts w:cs="Tahoma"/>
          <w:b/>
        </w:rPr>
        <w:t>ekspert</w:t>
      </w:r>
      <w:r w:rsidRPr="00862A04">
        <w:rPr>
          <w:rFonts w:cs="Tahoma"/>
          <w:b/>
        </w:rPr>
        <w:t xml:space="preserve"> programu </w:t>
      </w:r>
      <w:r>
        <w:rPr>
          <w:rFonts w:cs="Tahoma"/>
          <w:b/>
        </w:rPr>
        <w:t xml:space="preserve">„Zdrowa ONA” </w:t>
      </w:r>
      <w:r w:rsidRPr="005028A7">
        <w:rPr>
          <w:rFonts w:cs="Tahoma"/>
          <w:b/>
        </w:rPr>
        <w:t>prof. dr hab. n. med. Violetta Skrzypulec-Plinta.</w:t>
      </w:r>
    </w:p>
    <w:p w:rsidR="007C657D" w:rsidRDefault="007C657D" w:rsidP="00D71FC2">
      <w:pPr>
        <w:jc w:val="center"/>
        <w:rPr>
          <w:rFonts w:cs="Tahoma"/>
          <w:b/>
        </w:rPr>
      </w:pPr>
      <w:r w:rsidRPr="00616BE8">
        <w:rPr>
          <w:rFonts w:cs="Tahoma"/>
          <w:b/>
        </w:rPr>
        <w:t>Jak złagodzić objawy</w:t>
      </w:r>
      <w:r>
        <w:rPr>
          <w:rFonts w:cs="Tahoma"/>
          <w:b/>
        </w:rPr>
        <w:t xml:space="preserve"> – opinie kontra fakty </w:t>
      </w:r>
    </w:p>
    <w:p w:rsidR="007C657D" w:rsidRDefault="007C657D" w:rsidP="00D71FC2">
      <w:pPr>
        <w:jc w:val="both"/>
        <w:rPr>
          <w:rFonts w:cs="Tahoma"/>
          <w:b/>
        </w:rPr>
      </w:pPr>
      <w:r>
        <w:rPr>
          <w:rFonts w:cs="Tahoma"/>
          <w:b/>
        </w:rPr>
        <w:t>Co trzecia Polka za najlepszą metodę leczenia i łagodzenia objawów menopauzy uważa metodę naturalną</w:t>
      </w:r>
      <w:r>
        <w:rPr>
          <w:rStyle w:val="Odwoanieprzypisudolnego"/>
          <w:b/>
        </w:rPr>
        <w:footnoteReference w:id="2"/>
      </w:r>
      <w:r>
        <w:rPr>
          <w:rFonts w:cs="Tahoma"/>
          <w:b/>
        </w:rPr>
        <w:t xml:space="preserve">. </w:t>
      </w:r>
    </w:p>
    <w:p w:rsidR="007C657D" w:rsidRPr="00553E9F" w:rsidRDefault="007C657D" w:rsidP="00D71FC2">
      <w:pPr>
        <w:jc w:val="both"/>
        <w:rPr>
          <w:rFonts w:cs="Tahoma"/>
          <w:color w:val="000000"/>
        </w:rPr>
      </w:pPr>
      <w:r w:rsidRPr="00553E9F">
        <w:rPr>
          <w:rFonts w:cs="Tahoma"/>
          <w:b/>
          <w:color w:val="000000"/>
          <w:lang w:val="en-US"/>
        </w:rPr>
        <w:lastRenderedPageBreak/>
        <w:t xml:space="preserve">Prof. dr hab. n. med. </w:t>
      </w:r>
      <w:r w:rsidRPr="00553E9F">
        <w:rPr>
          <w:rFonts w:cs="Tahoma"/>
          <w:b/>
          <w:color w:val="000000"/>
        </w:rPr>
        <w:t>Violetta Skrzypulec-Plinta</w:t>
      </w:r>
      <w:r w:rsidRPr="00553E9F">
        <w:rPr>
          <w:b/>
          <w:color w:val="000000"/>
        </w:rPr>
        <w:t xml:space="preserve">:  </w:t>
      </w:r>
      <w:r w:rsidRPr="00553E9F">
        <w:rPr>
          <w:rFonts w:cs="Tahoma"/>
          <w:i/>
          <w:color w:val="000000"/>
        </w:rPr>
        <w:t>Ze względu na to, że wahania hormonów odpowiadają za objawy związane z menopauzą najskuteczniejszym</w:t>
      </w:r>
      <w:r w:rsidRPr="00553E9F">
        <w:rPr>
          <w:rFonts w:cs="Tahoma"/>
          <w:b/>
          <w:i/>
          <w:color w:val="000000"/>
        </w:rPr>
        <w:t xml:space="preserve"> </w:t>
      </w:r>
      <w:r w:rsidRPr="00553E9F">
        <w:rPr>
          <w:rFonts w:cs="Tahoma"/>
          <w:i/>
          <w:color w:val="000000"/>
        </w:rPr>
        <w:t>sposobem ich eliminacji jest hormonalna terapia menopauzalna. Syntetyczne hormony zawarte w HTM są chemicznie</w:t>
      </w:r>
      <w:r w:rsidRPr="00553E9F">
        <w:rPr>
          <w:rFonts w:cs="Tahoma"/>
          <w:i/>
          <w:color w:val="000000"/>
        </w:rPr>
        <w:br/>
        <w:t>i biologicznie identyczne jak hormony ludzkie. Kobiety, które w zastępstwie HTM stosują fitohormony</w:t>
      </w:r>
      <w:r w:rsidRPr="00553E9F">
        <w:rPr>
          <w:rFonts w:cs="Tahoma"/>
          <w:i/>
          <w:color w:val="000000"/>
        </w:rPr>
        <w:br/>
        <w:t>i lecznicze preparaty ziołowe, powinny pamiętać, że estrogeny roślinne i zioła nie są tak skuteczne</w:t>
      </w:r>
      <w:r w:rsidRPr="00553E9F">
        <w:rPr>
          <w:rFonts w:cs="Tahoma"/>
          <w:i/>
          <w:color w:val="000000"/>
        </w:rPr>
        <w:br/>
        <w:t>w niwelowaniu objawów menopauzy, jak te zawarte w HTM</w:t>
      </w:r>
      <w:r w:rsidRPr="00553E9F">
        <w:rPr>
          <w:rFonts w:cs="Tahoma"/>
          <w:color w:val="000000"/>
        </w:rPr>
        <w:t>.</w:t>
      </w:r>
    </w:p>
    <w:p w:rsidR="007C657D" w:rsidRPr="00553E9F" w:rsidRDefault="007C657D" w:rsidP="00821CC6">
      <w:pPr>
        <w:jc w:val="both"/>
        <w:rPr>
          <w:b/>
          <w:color w:val="000000"/>
        </w:rPr>
      </w:pPr>
      <w:r>
        <w:rPr>
          <w:b/>
          <w:color w:val="000000"/>
        </w:rPr>
        <w:t>50% kobiet uważa, że regularna aktywność fizyczna i zdrowa dieta to najlepsza forma łagodzenia</w:t>
      </w:r>
      <w:r w:rsidRPr="00553E9F">
        <w:rPr>
          <w:b/>
          <w:color w:val="000000"/>
        </w:rPr>
        <w:t xml:space="preserve"> </w:t>
      </w:r>
      <w:r>
        <w:rPr>
          <w:b/>
          <w:color w:val="000000"/>
        </w:rPr>
        <w:t>objawów menopauzy</w:t>
      </w:r>
      <w:r w:rsidRPr="00553E9F">
        <w:rPr>
          <w:b/>
          <w:color w:val="000000"/>
          <w:vertAlign w:val="superscript"/>
        </w:rPr>
        <w:t>3</w:t>
      </w:r>
      <w:r>
        <w:rPr>
          <w:b/>
          <w:color w:val="000000"/>
          <w:vertAlign w:val="superscript"/>
        </w:rPr>
        <w:t>*</w:t>
      </w:r>
      <w:r w:rsidRPr="00553E9F">
        <w:rPr>
          <w:b/>
          <w:color w:val="000000"/>
        </w:rPr>
        <w:t xml:space="preserve">: </w:t>
      </w:r>
    </w:p>
    <w:p w:rsidR="007C657D" w:rsidRPr="00553E9F" w:rsidRDefault="007C657D" w:rsidP="00821CC6">
      <w:pPr>
        <w:jc w:val="both"/>
        <w:rPr>
          <w:rFonts w:cs="Tahoma"/>
          <w:i/>
          <w:color w:val="000000"/>
        </w:rPr>
      </w:pPr>
      <w:r w:rsidRPr="00553E9F">
        <w:rPr>
          <w:rFonts w:cs="Tahoma"/>
          <w:b/>
          <w:color w:val="000000"/>
          <w:lang w:val="en-US"/>
        </w:rPr>
        <w:t xml:space="preserve">Prof. dr hab. n. med. </w:t>
      </w:r>
      <w:r w:rsidRPr="00553E9F">
        <w:rPr>
          <w:rFonts w:cs="Tahoma"/>
          <w:b/>
          <w:color w:val="000000"/>
        </w:rPr>
        <w:t>Violetta Skrzypulec-Plinta</w:t>
      </w:r>
      <w:r w:rsidRPr="00553E9F">
        <w:rPr>
          <w:b/>
          <w:color w:val="000000"/>
        </w:rPr>
        <w:t xml:space="preserve">: </w:t>
      </w:r>
      <w:r w:rsidRPr="00553E9F">
        <w:rPr>
          <w:rFonts w:cs="Tahoma"/>
          <w:i/>
          <w:color w:val="000000"/>
        </w:rPr>
        <w:t>Zdrowa dieta z naciskiem na zaprzestanie palenia papierosów</w:t>
      </w:r>
      <w:r>
        <w:rPr>
          <w:rFonts w:cs="Tahoma"/>
          <w:i/>
          <w:color w:val="000000"/>
        </w:rPr>
        <w:t>,</w:t>
      </w:r>
      <w:r w:rsidRPr="00553E9F">
        <w:rPr>
          <w:rFonts w:cs="Tahoma"/>
          <w:i/>
          <w:color w:val="000000"/>
        </w:rPr>
        <w:t xml:space="preserve"> ograniczenie spożycia alkoholu oraz aktywność fizyczna, która pozwoli utrzymać korzystną masę ciała</w:t>
      </w:r>
      <w:r>
        <w:rPr>
          <w:rFonts w:cs="Tahoma"/>
          <w:i/>
          <w:color w:val="000000"/>
        </w:rPr>
        <w:t>,</w:t>
      </w:r>
      <w:r w:rsidRPr="00553E9F">
        <w:rPr>
          <w:rFonts w:cs="Tahoma"/>
          <w:i/>
          <w:color w:val="000000"/>
        </w:rPr>
        <w:t xml:space="preserve"> to istotne elementy profilaktyki okresu okołomenopauzalnego. Warto na przykład ćwiczyć jogę, która wzmacnia mięśnie dna miednicy zapobiegające nietrzymaniu moczu,</w:t>
      </w:r>
      <w:r w:rsidRPr="00553E9F">
        <w:rPr>
          <w:rFonts w:cs="Tahoma"/>
          <w:i/>
          <w:color w:val="000000"/>
        </w:rPr>
        <w:br/>
        <w:t>a do diety włączyć wapno i witaminę D</w:t>
      </w:r>
      <w:r w:rsidRPr="00553E9F">
        <w:rPr>
          <w:rFonts w:cs="Tahoma"/>
          <w:i/>
          <w:color w:val="000000"/>
          <w:vertAlign w:val="subscript"/>
        </w:rPr>
        <w:t xml:space="preserve">3, </w:t>
      </w:r>
      <w:r w:rsidRPr="00553E9F">
        <w:rPr>
          <w:rFonts w:cs="Tahoma"/>
          <w:i/>
          <w:color w:val="000000"/>
        </w:rPr>
        <w:t>które zmniejszają ryzyko osteoporozy. Należy przy tym pamiętać, że dieta i aktywność fizyczna to tylko jeden z elementów wspierających terapię menopauzalną.</w:t>
      </w:r>
    </w:p>
    <w:p w:rsidR="007C657D" w:rsidRPr="00553E9F" w:rsidRDefault="007C657D" w:rsidP="00A70FBA">
      <w:pPr>
        <w:jc w:val="both"/>
        <w:rPr>
          <w:b/>
          <w:color w:val="000000"/>
        </w:rPr>
      </w:pPr>
      <w:r w:rsidRPr="00553E9F">
        <w:rPr>
          <w:b/>
          <w:color w:val="000000"/>
        </w:rPr>
        <w:t xml:space="preserve">40% </w:t>
      </w:r>
      <w:r>
        <w:rPr>
          <w:b/>
          <w:color w:val="000000"/>
        </w:rPr>
        <w:t>Polek</w:t>
      </w:r>
      <w:r w:rsidRPr="00553E9F">
        <w:rPr>
          <w:b/>
          <w:color w:val="000000"/>
        </w:rPr>
        <w:t xml:space="preserve">, </w:t>
      </w:r>
      <w:r>
        <w:rPr>
          <w:b/>
          <w:color w:val="000000"/>
        </w:rPr>
        <w:t>jako najlepszą formę</w:t>
      </w:r>
      <w:r w:rsidRPr="00553E9F">
        <w:rPr>
          <w:b/>
          <w:color w:val="000000"/>
        </w:rPr>
        <w:t xml:space="preserve"> hormonalnej </w:t>
      </w:r>
      <w:r>
        <w:rPr>
          <w:b/>
          <w:color w:val="000000"/>
        </w:rPr>
        <w:t xml:space="preserve">terapii menopauzalnej (HTM) </w:t>
      </w:r>
      <w:r w:rsidRPr="00553E9F">
        <w:rPr>
          <w:b/>
          <w:color w:val="000000"/>
        </w:rPr>
        <w:t>u</w:t>
      </w:r>
      <w:r>
        <w:rPr>
          <w:b/>
          <w:color w:val="000000"/>
        </w:rPr>
        <w:t xml:space="preserve">znaje </w:t>
      </w:r>
      <w:r w:rsidRPr="00553E9F">
        <w:rPr>
          <w:b/>
          <w:color w:val="000000"/>
        </w:rPr>
        <w:t>transdermalną</w:t>
      </w:r>
      <w:r w:rsidRPr="00553E9F">
        <w:rPr>
          <w:b/>
          <w:color w:val="000000"/>
          <w:vertAlign w:val="superscript"/>
        </w:rPr>
        <w:t>4</w:t>
      </w:r>
      <w:r>
        <w:rPr>
          <w:b/>
          <w:color w:val="000000"/>
          <w:vertAlign w:val="superscript"/>
        </w:rPr>
        <w:t>**</w:t>
      </w:r>
      <w:r w:rsidRPr="00553E9F">
        <w:rPr>
          <w:b/>
          <w:color w:val="000000"/>
        </w:rPr>
        <w:t xml:space="preserve">: </w:t>
      </w:r>
    </w:p>
    <w:p w:rsidR="007C657D" w:rsidRPr="00553E9F" w:rsidRDefault="007C657D" w:rsidP="00A70FBA">
      <w:pPr>
        <w:jc w:val="both"/>
        <w:rPr>
          <w:rFonts w:cs="Tahoma"/>
          <w:i/>
          <w:color w:val="000000"/>
        </w:rPr>
      </w:pPr>
      <w:r w:rsidRPr="00553E9F">
        <w:rPr>
          <w:rFonts w:cs="Tahoma"/>
          <w:b/>
          <w:i/>
          <w:color w:val="000000"/>
          <w:lang w:val="en-US"/>
        </w:rPr>
        <w:t xml:space="preserve">Prof. dr hab. n. med. </w:t>
      </w:r>
      <w:r w:rsidRPr="00553E9F">
        <w:rPr>
          <w:rFonts w:cs="Tahoma"/>
          <w:b/>
          <w:i/>
          <w:color w:val="000000"/>
        </w:rPr>
        <w:t xml:space="preserve">Violetta Skrzypulec-Plinta: </w:t>
      </w:r>
      <w:r w:rsidRPr="00553E9F">
        <w:rPr>
          <w:rFonts w:cs="Tahoma"/>
          <w:i/>
          <w:color w:val="000000"/>
        </w:rPr>
        <w:t>Kobiety mają do dyspozycji przyjmowanie hormonów w formie doustnej, transdermalnej, podskórnej czy domiejscowej. Rzeczywiści</w:t>
      </w:r>
      <w:r w:rsidR="00885D30">
        <w:rPr>
          <w:rFonts w:cs="Tahoma"/>
          <w:i/>
          <w:color w:val="000000"/>
        </w:rPr>
        <w:t>e</w:t>
      </w:r>
      <w:r>
        <w:rPr>
          <w:rFonts w:cs="Tahoma"/>
          <w:i/>
          <w:color w:val="000000"/>
        </w:rPr>
        <w:t>,</w:t>
      </w:r>
      <w:r w:rsidRPr="00553E9F">
        <w:rPr>
          <w:rFonts w:cs="Tahoma"/>
          <w:i/>
          <w:color w:val="000000"/>
        </w:rPr>
        <w:t xml:space="preserve"> ze względu na pominięcie metabolizmu wątrobowego</w:t>
      </w:r>
      <w:r>
        <w:rPr>
          <w:rFonts w:cs="Tahoma"/>
          <w:i/>
          <w:color w:val="000000"/>
        </w:rPr>
        <w:t>,</w:t>
      </w:r>
      <w:r w:rsidRPr="00553E9F">
        <w:rPr>
          <w:rFonts w:cs="Tahoma"/>
          <w:i/>
          <w:color w:val="000000"/>
        </w:rPr>
        <w:t xml:space="preserve"> </w:t>
      </w:r>
      <w:r>
        <w:rPr>
          <w:rFonts w:cs="Tahoma"/>
          <w:i/>
          <w:color w:val="000000"/>
        </w:rPr>
        <w:t>metoda transderm</w:t>
      </w:r>
      <w:r w:rsidRPr="00553E9F">
        <w:rPr>
          <w:rFonts w:cs="Tahoma"/>
          <w:i/>
          <w:color w:val="000000"/>
        </w:rPr>
        <w:t>alna charakteryzuje się korzystniejszym niż doustna profilem bezpieczeństwa.  Spraye z estradiolem pozwalają z kolei na dobór indywidualnej, odpowiedniej dla kobiety dawki hormonów. Jednak bez względu na stosowany rodzaj HTM każda kobieta powinna poddawać się regularnym badaniom profilaktycznym</w:t>
      </w:r>
      <w:r>
        <w:rPr>
          <w:rFonts w:cs="Tahoma"/>
          <w:i/>
          <w:color w:val="000000"/>
        </w:rPr>
        <w:t xml:space="preserve"> </w:t>
      </w:r>
      <w:r w:rsidRPr="00553E9F">
        <w:rPr>
          <w:rFonts w:cs="Tahoma"/>
          <w:i/>
          <w:color w:val="000000"/>
        </w:rPr>
        <w:t>i ginekologicznym. Pozwolą one ocenić jej stan zdrowia i dobrać odpowiednią dawkę hormonów, która nie tylko złagodzi objawy menopauzy, ale będzie także zapobiegać rozwojowi najczęstszych chorób charakterystycznych dla wieku 50+.</w:t>
      </w:r>
    </w:p>
    <w:p w:rsidR="007C657D" w:rsidRDefault="007C657D" w:rsidP="00D92187">
      <w:pPr>
        <w:jc w:val="both"/>
        <w:rPr>
          <w:rFonts w:cs="Tahoma"/>
          <w:b/>
        </w:rPr>
      </w:pPr>
    </w:p>
    <w:p w:rsidR="007C657D" w:rsidRPr="003F0218" w:rsidRDefault="007C657D" w:rsidP="00BB0AA3">
      <w:pPr>
        <w:pStyle w:val="NormalnyWeb"/>
        <w:shd w:val="clear" w:color="auto" w:fill="FFFFFF"/>
        <w:spacing w:before="240" w:after="240"/>
        <w:jc w:val="both"/>
        <w:rPr>
          <w:rFonts w:ascii="Calibri" w:hAnsi="Calibri"/>
          <w:b/>
          <w:color w:val="000000"/>
        </w:rPr>
      </w:pPr>
      <w:r>
        <w:rPr>
          <w:rFonts w:cs="Tahoma"/>
          <w:i/>
        </w:rPr>
        <w:t xml:space="preserve"> </w:t>
      </w:r>
    </w:p>
    <w:sectPr w:rsidR="007C657D" w:rsidRPr="003F0218" w:rsidSect="008D5C9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99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A2" w:rsidRDefault="00FD77A2">
      <w:pPr>
        <w:spacing w:after="0" w:line="240" w:lineRule="auto"/>
      </w:pPr>
      <w:r>
        <w:separator/>
      </w:r>
    </w:p>
  </w:endnote>
  <w:endnote w:type="continuationSeparator" w:id="0">
    <w:p w:rsidR="00FD77A2" w:rsidRDefault="00FD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7D" w:rsidRDefault="00885D3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333750" cy="942975"/>
          <wp:effectExtent l="1905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A2" w:rsidRDefault="00FD77A2">
      <w:pPr>
        <w:spacing w:after="0" w:line="240" w:lineRule="auto"/>
      </w:pPr>
      <w:r>
        <w:separator/>
      </w:r>
    </w:p>
  </w:footnote>
  <w:footnote w:type="continuationSeparator" w:id="0">
    <w:p w:rsidR="00FD77A2" w:rsidRDefault="00FD77A2">
      <w:pPr>
        <w:spacing w:after="0" w:line="240" w:lineRule="auto"/>
      </w:pPr>
      <w:r>
        <w:continuationSeparator/>
      </w:r>
    </w:p>
  </w:footnote>
  <w:footnote w:id="1">
    <w:p w:rsidR="007C657D" w:rsidRDefault="007C657D" w:rsidP="00821C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12FE">
        <w:t>Ogólnopolskie badanie zrealizowane w ramach programu „Zdrowa ONA” zainicjowanego przez Gedeon Richter, przeprowadzone w lipcu 2016 roku metodą internetowych zestandaryzowanych wywiadów kwestionariuszowych (CAWI) przez agencję SW Research. Ba</w:t>
      </w:r>
      <w:r>
        <w:t>daniem objęto łącznie 605 kobie</w:t>
      </w:r>
      <w:r w:rsidRPr="00F212FE">
        <w:t>t w wieku 44-55 lat</w:t>
      </w:r>
      <w:r>
        <w:t>.</w:t>
      </w:r>
    </w:p>
  </w:footnote>
  <w:footnote w:id="2">
    <w:p w:rsidR="007C657D" w:rsidRDefault="007C657D" w:rsidP="00821CC6">
      <w:pPr>
        <w:pStyle w:val="Tekstprzypisudolnego"/>
        <w:spacing w:after="0"/>
        <w:jc w:val="both"/>
      </w:pPr>
      <w:r w:rsidRPr="00821CC6">
        <w:rPr>
          <w:rStyle w:val="Odwoanieprzypisudolnego"/>
        </w:rPr>
        <w:footnoteRef/>
      </w:r>
      <w:r>
        <w:rPr>
          <w:vertAlign w:val="superscript"/>
        </w:rPr>
        <w:t>,3,4,</w:t>
      </w:r>
      <w:r>
        <w:t xml:space="preserve"> </w:t>
      </w:r>
      <w:r w:rsidRPr="00F212FE">
        <w:t>Ogólnopolskie badanie zrealizowane w ramach programu „Zdrowa ONA” zainicjowanego przez Gedeon Richter, przeprowadzone w lipcu 2016 roku metodą internetowych zestandaryzowanych wywiadów kwestionariuszowych (CAWI) przez agencję SW Research. Ba</w:t>
      </w:r>
      <w:r>
        <w:t>daniem objęto łącznie 605 kobie</w:t>
      </w:r>
      <w:r w:rsidRPr="00F212FE">
        <w:t>t w wieku 44-55 lat</w:t>
      </w:r>
      <w:r>
        <w:t>.</w:t>
      </w:r>
    </w:p>
    <w:p w:rsidR="007C657D" w:rsidRDefault="007C657D" w:rsidP="00821CC6">
      <w:pPr>
        <w:pStyle w:val="Tekstprzypisudolnego"/>
        <w:spacing w:after="0"/>
        <w:jc w:val="both"/>
      </w:pPr>
      <w:r>
        <w:rPr>
          <w:vertAlign w:val="superscript"/>
        </w:rPr>
        <w:t>*</w:t>
      </w:r>
      <w:r>
        <w:t>Wśród badanych, które wybrały terapię naturalną.</w:t>
      </w:r>
    </w:p>
    <w:p w:rsidR="007C657D" w:rsidRDefault="007C657D" w:rsidP="00821CC6">
      <w:pPr>
        <w:pStyle w:val="Tekstprzypisudolnego"/>
        <w:spacing w:after="0"/>
        <w:jc w:val="both"/>
      </w:pPr>
      <w:r w:rsidRPr="00D369FA">
        <w:rPr>
          <w:vertAlign w:val="superscript"/>
        </w:rPr>
        <w:t>**</w:t>
      </w:r>
      <w:r>
        <w:t xml:space="preserve"> Wśród badanych, które wybrały terapię hormonalna.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7D" w:rsidRDefault="00EC518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9" o:spid="_x0000_s2049" type="#_x0000_t75" style="position:absolute;margin-left:0;margin-top:0;width:453.35pt;height:287.3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7D" w:rsidRDefault="00885D30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81280</wp:posOffset>
          </wp:positionV>
          <wp:extent cx="2096135" cy="899795"/>
          <wp:effectExtent l="19050" t="0" r="0" b="0"/>
          <wp:wrapSquare wrapText="bothSides"/>
          <wp:docPr id="1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518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-922655</wp:posOffset>
              </wp:positionH>
              <wp:positionV relativeFrom="paragraph">
                <wp:posOffset>-190500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2.65pt;margin-top:-15pt;width:597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" fillcolor="#c00000" strokecolor="#c00000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7D" w:rsidRDefault="00EC518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8" o:spid="_x0000_s2052" type="#_x0000_t75" style="position:absolute;margin-left:0;margin-top:0;width:453.35pt;height:287.35pt;z-index:-25166028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473"/>
    <w:multiLevelType w:val="hybridMultilevel"/>
    <w:tmpl w:val="AED0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D0525"/>
    <w:multiLevelType w:val="hybridMultilevel"/>
    <w:tmpl w:val="BD14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0162F"/>
    <w:multiLevelType w:val="hybridMultilevel"/>
    <w:tmpl w:val="B8A87A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1330E"/>
    <w:multiLevelType w:val="hybridMultilevel"/>
    <w:tmpl w:val="B8E4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76A3F"/>
    <w:multiLevelType w:val="hybridMultilevel"/>
    <w:tmpl w:val="A290D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84D79"/>
    <w:multiLevelType w:val="hybridMultilevel"/>
    <w:tmpl w:val="DCB0F8DC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47114E"/>
    <w:multiLevelType w:val="hybridMultilevel"/>
    <w:tmpl w:val="2C6EC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170FA"/>
    <w:multiLevelType w:val="hybridMultilevel"/>
    <w:tmpl w:val="003C7766"/>
    <w:lvl w:ilvl="0" w:tplc="D694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41649"/>
    <w:multiLevelType w:val="hybridMultilevel"/>
    <w:tmpl w:val="4D6A4FAA"/>
    <w:lvl w:ilvl="0" w:tplc="733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D0F9C"/>
    <w:multiLevelType w:val="hybridMultilevel"/>
    <w:tmpl w:val="BC2C5D1A"/>
    <w:lvl w:ilvl="0" w:tplc="11DC78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64CE6DF2"/>
    <w:multiLevelType w:val="hybridMultilevel"/>
    <w:tmpl w:val="3CB2E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135AB3"/>
    <w:multiLevelType w:val="hybridMultilevel"/>
    <w:tmpl w:val="8450991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1D971D7"/>
    <w:multiLevelType w:val="hybridMultilevel"/>
    <w:tmpl w:val="386C039A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41"/>
    <w:rsid w:val="00022EC3"/>
    <w:rsid w:val="0002495D"/>
    <w:rsid w:val="00024BD8"/>
    <w:rsid w:val="00024CFA"/>
    <w:rsid w:val="00025611"/>
    <w:rsid w:val="000313AD"/>
    <w:rsid w:val="00047697"/>
    <w:rsid w:val="0005389C"/>
    <w:rsid w:val="00057F4E"/>
    <w:rsid w:val="000611AF"/>
    <w:rsid w:val="00066847"/>
    <w:rsid w:val="00081F5C"/>
    <w:rsid w:val="00082934"/>
    <w:rsid w:val="000950AE"/>
    <w:rsid w:val="000A6BD8"/>
    <w:rsid w:val="000B15C6"/>
    <w:rsid w:val="000C11DD"/>
    <w:rsid w:val="000C7120"/>
    <w:rsid w:val="000C7D5D"/>
    <w:rsid w:val="000D0099"/>
    <w:rsid w:val="000D6225"/>
    <w:rsid w:val="000D7DF3"/>
    <w:rsid w:val="000E18F6"/>
    <w:rsid w:val="000E31ED"/>
    <w:rsid w:val="000F6E6B"/>
    <w:rsid w:val="001006F0"/>
    <w:rsid w:val="00106691"/>
    <w:rsid w:val="0010766C"/>
    <w:rsid w:val="00112101"/>
    <w:rsid w:val="00120788"/>
    <w:rsid w:val="0012221D"/>
    <w:rsid w:val="00123184"/>
    <w:rsid w:val="00124FD0"/>
    <w:rsid w:val="00132169"/>
    <w:rsid w:val="00134C40"/>
    <w:rsid w:val="00134DAE"/>
    <w:rsid w:val="00135B23"/>
    <w:rsid w:val="00140B6F"/>
    <w:rsid w:val="001476B0"/>
    <w:rsid w:val="00152381"/>
    <w:rsid w:val="00156AD3"/>
    <w:rsid w:val="00156FF1"/>
    <w:rsid w:val="0015731D"/>
    <w:rsid w:val="00174C4F"/>
    <w:rsid w:val="00180B5D"/>
    <w:rsid w:val="001879E6"/>
    <w:rsid w:val="00187A95"/>
    <w:rsid w:val="00192EBB"/>
    <w:rsid w:val="001951D4"/>
    <w:rsid w:val="00197530"/>
    <w:rsid w:val="001A09F0"/>
    <w:rsid w:val="001A40E8"/>
    <w:rsid w:val="001A78B4"/>
    <w:rsid w:val="001A7A1F"/>
    <w:rsid w:val="001D2C42"/>
    <w:rsid w:val="001D39E5"/>
    <w:rsid w:val="001D58E4"/>
    <w:rsid w:val="001E25FE"/>
    <w:rsid w:val="001E47EE"/>
    <w:rsid w:val="001E5FD6"/>
    <w:rsid w:val="00204D03"/>
    <w:rsid w:val="00206F5A"/>
    <w:rsid w:val="0020743A"/>
    <w:rsid w:val="00212D19"/>
    <w:rsid w:val="00220A36"/>
    <w:rsid w:val="00223816"/>
    <w:rsid w:val="00226F11"/>
    <w:rsid w:val="002375E0"/>
    <w:rsid w:val="00237A10"/>
    <w:rsid w:val="0025151E"/>
    <w:rsid w:val="00262346"/>
    <w:rsid w:val="00273683"/>
    <w:rsid w:val="00275386"/>
    <w:rsid w:val="0029625E"/>
    <w:rsid w:val="002A10AD"/>
    <w:rsid w:val="002A5093"/>
    <w:rsid w:val="002B7072"/>
    <w:rsid w:val="002C64A1"/>
    <w:rsid w:val="002C768C"/>
    <w:rsid w:val="002E00CE"/>
    <w:rsid w:val="002E1032"/>
    <w:rsid w:val="002E47BB"/>
    <w:rsid w:val="002E6CE5"/>
    <w:rsid w:val="002F2B30"/>
    <w:rsid w:val="002F625A"/>
    <w:rsid w:val="003055BC"/>
    <w:rsid w:val="00313FA2"/>
    <w:rsid w:val="00325D39"/>
    <w:rsid w:val="0032622D"/>
    <w:rsid w:val="00326A7C"/>
    <w:rsid w:val="00326BBE"/>
    <w:rsid w:val="0035148D"/>
    <w:rsid w:val="00352D25"/>
    <w:rsid w:val="003544FB"/>
    <w:rsid w:val="003578F0"/>
    <w:rsid w:val="00363657"/>
    <w:rsid w:val="0037049F"/>
    <w:rsid w:val="003755D3"/>
    <w:rsid w:val="003968C4"/>
    <w:rsid w:val="003A29CE"/>
    <w:rsid w:val="003A7458"/>
    <w:rsid w:val="003C07E4"/>
    <w:rsid w:val="003D3D02"/>
    <w:rsid w:val="003D5AB9"/>
    <w:rsid w:val="003D663E"/>
    <w:rsid w:val="003D6A8E"/>
    <w:rsid w:val="003E516B"/>
    <w:rsid w:val="003F0218"/>
    <w:rsid w:val="003F3221"/>
    <w:rsid w:val="00400AA3"/>
    <w:rsid w:val="004010F3"/>
    <w:rsid w:val="004079C8"/>
    <w:rsid w:val="00410D43"/>
    <w:rsid w:val="00414E11"/>
    <w:rsid w:val="0041525B"/>
    <w:rsid w:val="0041652B"/>
    <w:rsid w:val="00420968"/>
    <w:rsid w:val="00435C20"/>
    <w:rsid w:val="00437633"/>
    <w:rsid w:val="00444C48"/>
    <w:rsid w:val="00452F42"/>
    <w:rsid w:val="00457887"/>
    <w:rsid w:val="00465E11"/>
    <w:rsid w:val="0049248F"/>
    <w:rsid w:val="004A4028"/>
    <w:rsid w:val="004A6663"/>
    <w:rsid w:val="004B3295"/>
    <w:rsid w:val="004C41C5"/>
    <w:rsid w:val="004C4626"/>
    <w:rsid w:val="004D0A40"/>
    <w:rsid w:val="004D4465"/>
    <w:rsid w:val="004D4480"/>
    <w:rsid w:val="004E5999"/>
    <w:rsid w:val="004E5CA1"/>
    <w:rsid w:val="004F2E87"/>
    <w:rsid w:val="004F37BA"/>
    <w:rsid w:val="004F62D8"/>
    <w:rsid w:val="004F79F9"/>
    <w:rsid w:val="00500A57"/>
    <w:rsid w:val="00501A66"/>
    <w:rsid w:val="005028A7"/>
    <w:rsid w:val="00502985"/>
    <w:rsid w:val="005060DA"/>
    <w:rsid w:val="005152F4"/>
    <w:rsid w:val="00520B9E"/>
    <w:rsid w:val="00524846"/>
    <w:rsid w:val="00530D5C"/>
    <w:rsid w:val="005317DD"/>
    <w:rsid w:val="00537D96"/>
    <w:rsid w:val="0054226E"/>
    <w:rsid w:val="0055126E"/>
    <w:rsid w:val="00553E9F"/>
    <w:rsid w:val="00557323"/>
    <w:rsid w:val="00561638"/>
    <w:rsid w:val="005653DF"/>
    <w:rsid w:val="00565842"/>
    <w:rsid w:val="00570B0D"/>
    <w:rsid w:val="005856B3"/>
    <w:rsid w:val="005952BE"/>
    <w:rsid w:val="005A5B5F"/>
    <w:rsid w:val="005B3DA2"/>
    <w:rsid w:val="005B44E9"/>
    <w:rsid w:val="005B53F4"/>
    <w:rsid w:val="005C63D1"/>
    <w:rsid w:val="005D018D"/>
    <w:rsid w:val="00605223"/>
    <w:rsid w:val="00610007"/>
    <w:rsid w:val="00611D15"/>
    <w:rsid w:val="00616BE8"/>
    <w:rsid w:val="00620E2B"/>
    <w:rsid w:val="00622D98"/>
    <w:rsid w:val="00624BF1"/>
    <w:rsid w:val="00631F8D"/>
    <w:rsid w:val="00633B3D"/>
    <w:rsid w:val="00634BCA"/>
    <w:rsid w:val="00637EC9"/>
    <w:rsid w:val="00642D52"/>
    <w:rsid w:val="00644917"/>
    <w:rsid w:val="00651B80"/>
    <w:rsid w:val="00663318"/>
    <w:rsid w:val="006705E9"/>
    <w:rsid w:val="00670736"/>
    <w:rsid w:val="00670B84"/>
    <w:rsid w:val="00674511"/>
    <w:rsid w:val="006776B1"/>
    <w:rsid w:val="00680300"/>
    <w:rsid w:val="006829E6"/>
    <w:rsid w:val="0068461F"/>
    <w:rsid w:val="006914C9"/>
    <w:rsid w:val="00696211"/>
    <w:rsid w:val="006A696C"/>
    <w:rsid w:val="006A7D01"/>
    <w:rsid w:val="006B23AA"/>
    <w:rsid w:val="006B411A"/>
    <w:rsid w:val="006B7020"/>
    <w:rsid w:val="006C183A"/>
    <w:rsid w:val="006D01B3"/>
    <w:rsid w:val="006D4396"/>
    <w:rsid w:val="006D7FAA"/>
    <w:rsid w:val="006E346E"/>
    <w:rsid w:val="006E44C2"/>
    <w:rsid w:val="006F572C"/>
    <w:rsid w:val="006F6D31"/>
    <w:rsid w:val="0070067B"/>
    <w:rsid w:val="00702578"/>
    <w:rsid w:val="007051A3"/>
    <w:rsid w:val="007053FE"/>
    <w:rsid w:val="00720440"/>
    <w:rsid w:val="00722B38"/>
    <w:rsid w:val="00733DA5"/>
    <w:rsid w:val="007410C2"/>
    <w:rsid w:val="0074116D"/>
    <w:rsid w:val="007459A7"/>
    <w:rsid w:val="00747BB2"/>
    <w:rsid w:val="00752C14"/>
    <w:rsid w:val="0075560B"/>
    <w:rsid w:val="007561C5"/>
    <w:rsid w:val="00761AEB"/>
    <w:rsid w:val="00786032"/>
    <w:rsid w:val="00790077"/>
    <w:rsid w:val="007A1B81"/>
    <w:rsid w:val="007A35F6"/>
    <w:rsid w:val="007A45FA"/>
    <w:rsid w:val="007A75F5"/>
    <w:rsid w:val="007A75F9"/>
    <w:rsid w:val="007C657D"/>
    <w:rsid w:val="007D6665"/>
    <w:rsid w:val="007D6C3F"/>
    <w:rsid w:val="007D73D3"/>
    <w:rsid w:val="007E4A41"/>
    <w:rsid w:val="00802291"/>
    <w:rsid w:val="00811A0F"/>
    <w:rsid w:val="00813492"/>
    <w:rsid w:val="008160DB"/>
    <w:rsid w:val="00820E17"/>
    <w:rsid w:val="00821CC6"/>
    <w:rsid w:val="008354C0"/>
    <w:rsid w:val="00845741"/>
    <w:rsid w:val="008517EB"/>
    <w:rsid w:val="008525DC"/>
    <w:rsid w:val="008617EC"/>
    <w:rsid w:val="00862A04"/>
    <w:rsid w:val="00876969"/>
    <w:rsid w:val="00880673"/>
    <w:rsid w:val="00885D30"/>
    <w:rsid w:val="0089315C"/>
    <w:rsid w:val="0089769A"/>
    <w:rsid w:val="008A5569"/>
    <w:rsid w:val="008B1BD8"/>
    <w:rsid w:val="008B2DA3"/>
    <w:rsid w:val="008B6C2D"/>
    <w:rsid w:val="008C39CF"/>
    <w:rsid w:val="008C5974"/>
    <w:rsid w:val="008D5C99"/>
    <w:rsid w:val="008D7F29"/>
    <w:rsid w:val="008E4BE9"/>
    <w:rsid w:val="008E608F"/>
    <w:rsid w:val="008E79F0"/>
    <w:rsid w:val="008F348D"/>
    <w:rsid w:val="008F5F04"/>
    <w:rsid w:val="009011E4"/>
    <w:rsid w:val="00903DBA"/>
    <w:rsid w:val="009050CE"/>
    <w:rsid w:val="00907116"/>
    <w:rsid w:val="009157DC"/>
    <w:rsid w:val="0092187E"/>
    <w:rsid w:val="009301C8"/>
    <w:rsid w:val="00931EBA"/>
    <w:rsid w:val="0093371F"/>
    <w:rsid w:val="00944E32"/>
    <w:rsid w:val="009564C2"/>
    <w:rsid w:val="009644AC"/>
    <w:rsid w:val="00972791"/>
    <w:rsid w:val="00972F75"/>
    <w:rsid w:val="00980270"/>
    <w:rsid w:val="00985CF1"/>
    <w:rsid w:val="009B6C5D"/>
    <w:rsid w:val="009C2626"/>
    <w:rsid w:val="009D2D93"/>
    <w:rsid w:val="009D5A94"/>
    <w:rsid w:val="009E0C3D"/>
    <w:rsid w:val="009E7EAD"/>
    <w:rsid w:val="009F19C1"/>
    <w:rsid w:val="009F45B4"/>
    <w:rsid w:val="009F6834"/>
    <w:rsid w:val="009F70AA"/>
    <w:rsid w:val="00A03205"/>
    <w:rsid w:val="00A11AD9"/>
    <w:rsid w:val="00A13079"/>
    <w:rsid w:val="00A13320"/>
    <w:rsid w:val="00A16134"/>
    <w:rsid w:val="00A210B9"/>
    <w:rsid w:val="00A21AD0"/>
    <w:rsid w:val="00A33549"/>
    <w:rsid w:val="00A62625"/>
    <w:rsid w:val="00A63E85"/>
    <w:rsid w:val="00A70FBA"/>
    <w:rsid w:val="00A762C7"/>
    <w:rsid w:val="00A8149A"/>
    <w:rsid w:val="00A86913"/>
    <w:rsid w:val="00AA1F8E"/>
    <w:rsid w:val="00AA3122"/>
    <w:rsid w:val="00AB35CA"/>
    <w:rsid w:val="00AB5420"/>
    <w:rsid w:val="00AB7BCD"/>
    <w:rsid w:val="00AC5C5C"/>
    <w:rsid w:val="00AD0010"/>
    <w:rsid w:val="00AD531A"/>
    <w:rsid w:val="00AE1B36"/>
    <w:rsid w:val="00AF4E6F"/>
    <w:rsid w:val="00B11D9D"/>
    <w:rsid w:val="00B20831"/>
    <w:rsid w:val="00B23403"/>
    <w:rsid w:val="00B2420D"/>
    <w:rsid w:val="00B346D6"/>
    <w:rsid w:val="00B3626C"/>
    <w:rsid w:val="00B36964"/>
    <w:rsid w:val="00B44D28"/>
    <w:rsid w:val="00B676C8"/>
    <w:rsid w:val="00B679FF"/>
    <w:rsid w:val="00B76059"/>
    <w:rsid w:val="00B80097"/>
    <w:rsid w:val="00B81E17"/>
    <w:rsid w:val="00B8702D"/>
    <w:rsid w:val="00B8734C"/>
    <w:rsid w:val="00B87833"/>
    <w:rsid w:val="00B92309"/>
    <w:rsid w:val="00B92623"/>
    <w:rsid w:val="00BA058A"/>
    <w:rsid w:val="00BB0AA3"/>
    <w:rsid w:val="00BB4CF3"/>
    <w:rsid w:val="00BB5D5E"/>
    <w:rsid w:val="00BB66DC"/>
    <w:rsid w:val="00BC575E"/>
    <w:rsid w:val="00BC604D"/>
    <w:rsid w:val="00BD04DE"/>
    <w:rsid w:val="00BD3B37"/>
    <w:rsid w:val="00BD6396"/>
    <w:rsid w:val="00BE0682"/>
    <w:rsid w:val="00BE2BEC"/>
    <w:rsid w:val="00BE3F31"/>
    <w:rsid w:val="00BE7279"/>
    <w:rsid w:val="00BF0318"/>
    <w:rsid w:val="00C02B3F"/>
    <w:rsid w:val="00C17D6A"/>
    <w:rsid w:val="00C21481"/>
    <w:rsid w:val="00C21B3F"/>
    <w:rsid w:val="00C321FA"/>
    <w:rsid w:val="00C40259"/>
    <w:rsid w:val="00C44C27"/>
    <w:rsid w:val="00C5597F"/>
    <w:rsid w:val="00C77BEC"/>
    <w:rsid w:val="00C86A50"/>
    <w:rsid w:val="00C91F4E"/>
    <w:rsid w:val="00C954F1"/>
    <w:rsid w:val="00CA2A06"/>
    <w:rsid w:val="00CA7E2D"/>
    <w:rsid w:val="00CB5D45"/>
    <w:rsid w:val="00CC62CE"/>
    <w:rsid w:val="00CC6A31"/>
    <w:rsid w:val="00CD12B3"/>
    <w:rsid w:val="00CD439A"/>
    <w:rsid w:val="00CD6139"/>
    <w:rsid w:val="00CE00C5"/>
    <w:rsid w:val="00CF27D7"/>
    <w:rsid w:val="00CF4990"/>
    <w:rsid w:val="00D01F22"/>
    <w:rsid w:val="00D04CD3"/>
    <w:rsid w:val="00D05292"/>
    <w:rsid w:val="00D07983"/>
    <w:rsid w:val="00D12123"/>
    <w:rsid w:val="00D216DB"/>
    <w:rsid w:val="00D23EE7"/>
    <w:rsid w:val="00D34146"/>
    <w:rsid w:val="00D369FA"/>
    <w:rsid w:val="00D47608"/>
    <w:rsid w:val="00D51C50"/>
    <w:rsid w:val="00D565DA"/>
    <w:rsid w:val="00D57A1B"/>
    <w:rsid w:val="00D57F36"/>
    <w:rsid w:val="00D709B9"/>
    <w:rsid w:val="00D71FC2"/>
    <w:rsid w:val="00D777BC"/>
    <w:rsid w:val="00D806D7"/>
    <w:rsid w:val="00D83DA5"/>
    <w:rsid w:val="00D851D6"/>
    <w:rsid w:val="00D90B62"/>
    <w:rsid w:val="00D92187"/>
    <w:rsid w:val="00D97815"/>
    <w:rsid w:val="00DA1141"/>
    <w:rsid w:val="00DA46F0"/>
    <w:rsid w:val="00DA52F8"/>
    <w:rsid w:val="00DA7A19"/>
    <w:rsid w:val="00DB1512"/>
    <w:rsid w:val="00DC2D14"/>
    <w:rsid w:val="00DC4AC5"/>
    <w:rsid w:val="00DE500B"/>
    <w:rsid w:val="00DE519B"/>
    <w:rsid w:val="00DE59A6"/>
    <w:rsid w:val="00DF2FE0"/>
    <w:rsid w:val="00E0276B"/>
    <w:rsid w:val="00E05606"/>
    <w:rsid w:val="00E11814"/>
    <w:rsid w:val="00E15A7C"/>
    <w:rsid w:val="00E171E8"/>
    <w:rsid w:val="00E17F88"/>
    <w:rsid w:val="00E20242"/>
    <w:rsid w:val="00E227C7"/>
    <w:rsid w:val="00E24E3E"/>
    <w:rsid w:val="00E3053D"/>
    <w:rsid w:val="00E512E7"/>
    <w:rsid w:val="00E57515"/>
    <w:rsid w:val="00E57785"/>
    <w:rsid w:val="00E62FAC"/>
    <w:rsid w:val="00E64797"/>
    <w:rsid w:val="00E658AA"/>
    <w:rsid w:val="00E710A5"/>
    <w:rsid w:val="00E74D0F"/>
    <w:rsid w:val="00E82BDE"/>
    <w:rsid w:val="00E86092"/>
    <w:rsid w:val="00E8653D"/>
    <w:rsid w:val="00E86CC6"/>
    <w:rsid w:val="00E87B23"/>
    <w:rsid w:val="00E94D02"/>
    <w:rsid w:val="00EA07FF"/>
    <w:rsid w:val="00EA3AA8"/>
    <w:rsid w:val="00EB2EA8"/>
    <w:rsid w:val="00EB3ABE"/>
    <w:rsid w:val="00EC16F2"/>
    <w:rsid w:val="00EC5180"/>
    <w:rsid w:val="00EC59C9"/>
    <w:rsid w:val="00EE050C"/>
    <w:rsid w:val="00EE0C85"/>
    <w:rsid w:val="00EE57A7"/>
    <w:rsid w:val="00EF12C9"/>
    <w:rsid w:val="00EF64A3"/>
    <w:rsid w:val="00F01296"/>
    <w:rsid w:val="00F01488"/>
    <w:rsid w:val="00F07011"/>
    <w:rsid w:val="00F20B98"/>
    <w:rsid w:val="00F212FE"/>
    <w:rsid w:val="00F21AEF"/>
    <w:rsid w:val="00F2206F"/>
    <w:rsid w:val="00F22944"/>
    <w:rsid w:val="00F251BE"/>
    <w:rsid w:val="00F2697D"/>
    <w:rsid w:val="00F27AE9"/>
    <w:rsid w:val="00F30C0B"/>
    <w:rsid w:val="00F41C4D"/>
    <w:rsid w:val="00F432F9"/>
    <w:rsid w:val="00F50607"/>
    <w:rsid w:val="00F62A12"/>
    <w:rsid w:val="00F65E37"/>
    <w:rsid w:val="00F716EB"/>
    <w:rsid w:val="00F85F56"/>
    <w:rsid w:val="00FB349B"/>
    <w:rsid w:val="00FB3E01"/>
    <w:rsid w:val="00FC1A40"/>
    <w:rsid w:val="00FC3E7A"/>
    <w:rsid w:val="00FD034A"/>
    <w:rsid w:val="00FD08EE"/>
    <w:rsid w:val="00FD2C5E"/>
    <w:rsid w:val="00FD77A2"/>
    <w:rsid w:val="00FD7AEE"/>
    <w:rsid w:val="00FE5E7E"/>
    <w:rsid w:val="00FF17CB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D5C99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5C99"/>
    <w:pPr>
      <w:keepNext/>
      <w:jc w:val="center"/>
      <w:outlineLvl w:val="0"/>
    </w:pPr>
    <w:rPr>
      <w:rFonts w:ascii="Tahoma" w:hAnsi="Tahoma" w:cs="Tahoma"/>
      <w:b/>
      <w:color w:val="C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5C99"/>
    <w:pPr>
      <w:keepNext/>
      <w:spacing w:line="225" w:lineRule="atLeast"/>
      <w:jc w:val="both"/>
      <w:outlineLvl w:val="1"/>
    </w:pPr>
    <w:rPr>
      <w:rFonts w:ascii="Tahoma" w:hAnsi="Tahoma" w:cs="Tahoma"/>
      <w:b/>
      <w:color w:val="C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A402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A402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1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4A4028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uiPriority w:val="99"/>
    <w:rsid w:val="008D5C9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4A4028"/>
    <w:rPr>
      <w:rFonts w:cs="Times New Roman"/>
      <w:lang w:eastAsia="en-US"/>
    </w:rPr>
  </w:style>
  <w:style w:type="character" w:customStyle="1" w:styleId="StopkaZnak">
    <w:name w:val="Stopka Znak"/>
    <w:basedOn w:val="Domylnaczcionkaakapitu"/>
    <w:uiPriority w:val="99"/>
    <w:rsid w:val="008D5C99"/>
    <w:rPr>
      <w:rFonts w:cs="Times New Roman"/>
    </w:rPr>
  </w:style>
  <w:style w:type="paragraph" w:styleId="Tekstdymka">
    <w:name w:val="Balloon Text"/>
    <w:basedOn w:val="Normalny"/>
    <w:link w:val="TekstdymkaZnak1"/>
    <w:uiPriority w:val="99"/>
    <w:semiHidden/>
    <w:rsid w:val="008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4A4028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semiHidden/>
    <w:rsid w:val="008D5C99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8D5C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5C99"/>
    <w:rPr>
      <w:rFonts w:cs="Times New Roman"/>
      <w:color w:val="808080"/>
    </w:rPr>
  </w:style>
  <w:style w:type="character" w:styleId="Hipercze">
    <w:name w:val="Hyperlink"/>
    <w:basedOn w:val="Domylnaczcionkaakapitu"/>
    <w:uiPriority w:val="99"/>
    <w:rsid w:val="008D5C99"/>
    <w:rPr>
      <w:rFonts w:cs="Times New Roman"/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8D5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4A4028"/>
    <w:rPr>
      <w:rFonts w:ascii="Arial" w:hAnsi="Arial" w:cs="Arial"/>
      <w:vanish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D5C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D5C99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8D5C99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8D5C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rsid w:val="008D5C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8D5C9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4A4028"/>
    <w:rPr>
      <w:rFonts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uiPriority w:val="99"/>
    <w:semiHidden/>
    <w:rsid w:val="008D5C99"/>
    <w:rPr>
      <w:b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5C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35C20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C21481"/>
    <w:rPr>
      <w:rFonts w:cs="Times New Roman"/>
      <w:b/>
      <w:bCs/>
    </w:rPr>
  </w:style>
  <w:style w:type="character" w:customStyle="1" w:styleId="shortcut">
    <w:name w:val="shortcut"/>
    <w:basedOn w:val="Domylnaczcionkaakapitu"/>
    <w:uiPriority w:val="99"/>
    <w:rsid w:val="001D2C42"/>
    <w:rPr>
      <w:rFonts w:cs="Times New Roman"/>
    </w:rPr>
  </w:style>
  <w:style w:type="paragraph" w:styleId="NormalnyWeb">
    <w:name w:val="Normal (Web)"/>
    <w:basedOn w:val="Normalny"/>
    <w:uiPriority w:val="99"/>
    <w:rsid w:val="00AB35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F30C0B"/>
    <w:rPr>
      <w:rFonts w:cs="Times New Roman"/>
    </w:rPr>
  </w:style>
  <w:style w:type="table" w:styleId="Tabela-Siatka">
    <w:name w:val="Table Grid"/>
    <w:basedOn w:val="Standardowy"/>
    <w:uiPriority w:val="99"/>
    <w:rsid w:val="004079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D5C99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5C99"/>
    <w:pPr>
      <w:keepNext/>
      <w:jc w:val="center"/>
      <w:outlineLvl w:val="0"/>
    </w:pPr>
    <w:rPr>
      <w:rFonts w:ascii="Tahoma" w:hAnsi="Tahoma" w:cs="Tahoma"/>
      <w:b/>
      <w:color w:val="C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5C99"/>
    <w:pPr>
      <w:keepNext/>
      <w:spacing w:line="225" w:lineRule="atLeast"/>
      <w:jc w:val="both"/>
      <w:outlineLvl w:val="1"/>
    </w:pPr>
    <w:rPr>
      <w:rFonts w:ascii="Tahoma" w:hAnsi="Tahoma" w:cs="Tahoma"/>
      <w:b/>
      <w:color w:val="C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A402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A402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1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4A4028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uiPriority w:val="99"/>
    <w:rsid w:val="008D5C9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4A4028"/>
    <w:rPr>
      <w:rFonts w:cs="Times New Roman"/>
      <w:lang w:eastAsia="en-US"/>
    </w:rPr>
  </w:style>
  <w:style w:type="character" w:customStyle="1" w:styleId="StopkaZnak">
    <w:name w:val="Stopka Znak"/>
    <w:basedOn w:val="Domylnaczcionkaakapitu"/>
    <w:uiPriority w:val="99"/>
    <w:rsid w:val="008D5C99"/>
    <w:rPr>
      <w:rFonts w:cs="Times New Roman"/>
    </w:rPr>
  </w:style>
  <w:style w:type="paragraph" w:styleId="Tekstdymka">
    <w:name w:val="Balloon Text"/>
    <w:basedOn w:val="Normalny"/>
    <w:link w:val="TekstdymkaZnak1"/>
    <w:uiPriority w:val="99"/>
    <w:semiHidden/>
    <w:rsid w:val="008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4A4028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semiHidden/>
    <w:rsid w:val="008D5C99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8D5C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5C99"/>
    <w:rPr>
      <w:rFonts w:cs="Times New Roman"/>
      <w:color w:val="808080"/>
    </w:rPr>
  </w:style>
  <w:style w:type="character" w:styleId="Hipercze">
    <w:name w:val="Hyperlink"/>
    <w:basedOn w:val="Domylnaczcionkaakapitu"/>
    <w:uiPriority w:val="99"/>
    <w:rsid w:val="008D5C99"/>
    <w:rPr>
      <w:rFonts w:cs="Times New Roman"/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8D5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4A4028"/>
    <w:rPr>
      <w:rFonts w:ascii="Arial" w:hAnsi="Arial" w:cs="Arial"/>
      <w:vanish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D5C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D5C99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8D5C99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8D5C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rsid w:val="008D5C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8D5C9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4A4028"/>
    <w:rPr>
      <w:rFonts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uiPriority w:val="99"/>
    <w:semiHidden/>
    <w:rsid w:val="008D5C99"/>
    <w:rPr>
      <w:b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5C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A4028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35C20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C21481"/>
    <w:rPr>
      <w:rFonts w:cs="Times New Roman"/>
      <w:b/>
      <w:bCs/>
    </w:rPr>
  </w:style>
  <w:style w:type="character" w:customStyle="1" w:styleId="shortcut">
    <w:name w:val="shortcut"/>
    <w:basedOn w:val="Domylnaczcionkaakapitu"/>
    <w:uiPriority w:val="99"/>
    <w:rsid w:val="001D2C42"/>
    <w:rPr>
      <w:rFonts w:cs="Times New Roman"/>
    </w:rPr>
  </w:style>
  <w:style w:type="paragraph" w:styleId="NormalnyWeb">
    <w:name w:val="Normal (Web)"/>
    <w:basedOn w:val="Normalny"/>
    <w:uiPriority w:val="99"/>
    <w:rsid w:val="00AB35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F30C0B"/>
    <w:rPr>
      <w:rFonts w:cs="Times New Roman"/>
    </w:rPr>
  </w:style>
  <w:style w:type="table" w:styleId="Tabela-Siatka">
    <w:name w:val="Table Grid"/>
    <w:basedOn w:val="Standardowy"/>
    <w:uiPriority w:val="99"/>
    <w:rsid w:val="004079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8414086978143056"/>
          <c:y val="0"/>
          <c:w val="0.45778837544228757"/>
          <c:h val="0.99999282487131058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Arkusz1!$B$1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4F81BD"/>
            </a:solidFill>
            <a:ln w="24886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1B416F"/>
              </a:solidFill>
              <a:ln w="24886"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355E8F"/>
              </a:solidFill>
              <a:ln w="24886"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3C6AA2"/>
              </a:solidFill>
              <a:ln w="24886"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4376B3"/>
              </a:solidFill>
              <a:ln w="24886"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rgbClr val="5887C0"/>
              </a:solidFill>
              <a:ln w="24886"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6792C5"/>
              </a:solidFill>
              <a:ln w="24886"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rgbClr val="779DCB"/>
              </a:solidFill>
              <a:ln w="24886"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rgbClr val="85A7D1"/>
              </a:solidFill>
              <a:ln w="24886">
                <a:noFill/>
              </a:ln>
            </c:spPr>
          </c:dPt>
          <c:dPt>
            <c:idx val="8"/>
            <c:invertIfNegative val="0"/>
            <c:bubble3D val="0"/>
            <c:spPr>
              <a:solidFill>
                <a:srgbClr val="98B5D8"/>
              </a:solidFill>
              <a:ln w="24886">
                <a:noFill/>
              </a:ln>
            </c:spPr>
          </c:dPt>
          <c:dPt>
            <c:idx val="9"/>
            <c:invertIfNegative val="0"/>
            <c:bubble3D val="0"/>
            <c:spPr>
              <a:solidFill>
                <a:srgbClr val="B1C7E1"/>
              </a:solidFill>
              <a:ln w="24886">
                <a:noFill/>
              </a:ln>
            </c:spPr>
          </c:dPt>
          <c:dPt>
            <c:idx val="10"/>
            <c:invertIfNegative val="0"/>
            <c:bubble3D val="0"/>
            <c:spPr>
              <a:solidFill>
                <a:srgbClr val="C0D1E6"/>
              </a:solidFill>
              <a:ln w="24886">
                <a:noFill/>
              </a:ln>
            </c:spPr>
          </c:dPt>
          <c:dPt>
            <c:idx val="11"/>
            <c:invertIfNegative val="0"/>
            <c:bubble3D val="0"/>
            <c:spPr>
              <a:solidFill>
                <a:srgbClr val="D0DDEC"/>
              </a:solidFill>
              <a:ln w="24886">
                <a:noFill/>
              </a:ln>
            </c:spPr>
          </c:dPt>
          <c:dLbls>
            <c:spPr>
              <a:noFill/>
              <a:ln w="248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6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Arkusz1!$A$2:$A$14</c:f>
              <c:strCache>
                <c:ptCount val="13"/>
                <c:pt idx="0">
                  <c:v>Uderzenia gorąca </c:v>
                </c:pt>
                <c:pt idx="1">
                  <c:v>Wahania nastrojów</c:v>
                </c:pt>
                <c:pt idx="2">
                  <c:v>Pocenie się</c:v>
                </c:pt>
                <c:pt idx="3">
                  <c:v>Przybieranie na wadze </c:v>
                </c:pt>
                <c:pt idx="4">
                  <c:v>Zaburzenia snu </c:v>
                </c:pt>
                <c:pt idx="5">
                  <c:v>Trudności z koncentracją </c:v>
                </c:pt>
                <c:pt idx="6">
                  <c:v>Bezsenność</c:v>
                </c:pt>
                <c:pt idx="7">
                  <c:v>Osteoporoza</c:v>
                </c:pt>
                <c:pt idx="8">
                  <c:v>Bóle głowy </c:v>
                </c:pt>
                <c:pt idx="9">
                  <c:v>Nadciśnienie</c:v>
                </c:pt>
                <c:pt idx="10">
                  <c:v>Bóle mięśni i stawów </c:v>
                </c:pt>
                <c:pt idx="11">
                  <c:v>Choroba niedokrwienna serca</c:v>
                </c:pt>
                <c:pt idx="12">
                  <c:v>Inne, jakie? </c:v>
                </c:pt>
              </c:strCache>
            </c:strRef>
          </c:cat>
          <c:val>
            <c:numRef>
              <c:f>Arkusz1!$B$2:$B$14</c:f>
              <c:numCache>
                <c:formatCode>0.0</c:formatCode>
                <c:ptCount val="13"/>
                <c:pt idx="0">
                  <c:v>91.404958677685954</c:v>
                </c:pt>
                <c:pt idx="1">
                  <c:v>86.446280991735577</c:v>
                </c:pt>
                <c:pt idx="2">
                  <c:v>78.347107438016522</c:v>
                </c:pt>
                <c:pt idx="3">
                  <c:v>68.760330578512381</c:v>
                </c:pt>
                <c:pt idx="4">
                  <c:v>54.049586776859506</c:v>
                </c:pt>
                <c:pt idx="5">
                  <c:v>43.636363636363626</c:v>
                </c:pt>
                <c:pt idx="6">
                  <c:v>38.347107438016501</c:v>
                </c:pt>
                <c:pt idx="7">
                  <c:v>33.223140495867767</c:v>
                </c:pt>
                <c:pt idx="8">
                  <c:v>29.917355371900832</c:v>
                </c:pt>
                <c:pt idx="9">
                  <c:v>20.165289256198339</c:v>
                </c:pt>
                <c:pt idx="10">
                  <c:v>15.206611570247938</c:v>
                </c:pt>
                <c:pt idx="11">
                  <c:v>7.7685950413223122</c:v>
                </c:pt>
                <c:pt idx="12">
                  <c:v>0.49586776859504156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176464640"/>
        <c:axId val="176466560"/>
      </c:barChart>
      <c:catAx>
        <c:axId val="17646464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332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73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466560"/>
        <c:crosses val="autoZero"/>
        <c:auto val="1"/>
        <c:lblAlgn val="ctr"/>
        <c:lblOffset val="100"/>
        <c:noMultiLvlLbl val="0"/>
      </c:catAx>
      <c:valAx>
        <c:axId val="176466560"/>
        <c:scaling>
          <c:orientation val="minMax"/>
          <c:min val="0"/>
        </c:scaling>
        <c:delete val="0"/>
        <c:axPos val="t"/>
        <c:numFmt formatCode="0.0" sourceLinked="1"/>
        <c:majorTickMark val="none"/>
        <c:minorTickMark val="none"/>
        <c:tickLblPos val="none"/>
        <c:spPr>
          <a:ln w="933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73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464640"/>
        <c:crosses val="autoZero"/>
        <c:crossBetween val="between"/>
      </c:valAx>
      <c:spPr>
        <a:noFill/>
        <a:ln w="2488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NEWSLETTER ZDROWA ONA 04/2013</vt:lpstr>
    </vt:vector>
  </TitlesOfParts>
  <Company>OnBoard PR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ZDROWA ONA 04/2013</dc:title>
  <dc:creator>Małgorzata Flaga</dc:creator>
  <cp:lastModifiedBy>Aleksandra Sołtysiak</cp:lastModifiedBy>
  <cp:revision>2</cp:revision>
  <cp:lastPrinted>2014-10-17T10:01:00Z</cp:lastPrinted>
  <dcterms:created xsi:type="dcterms:W3CDTF">2016-08-03T12:21:00Z</dcterms:created>
  <dcterms:modified xsi:type="dcterms:W3CDTF">2016-08-03T12:21:00Z</dcterms:modified>
</cp:coreProperties>
</file>