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DF5" w:rsidRPr="000A0087" w:rsidRDefault="00BB2DF5" w:rsidP="00D132F3">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0" w:line="240" w:lineRule="auto"/>
        <w:jc w:val="center"/>
        <w:rPr>
          <w:rFonts w:ascii="Verdana" w:hAnsi="Verdana" w:cs="Times New Roman"/>
          <w:b/>
          <w:bCs/>
          <w:color w:val="000000" w:themeColor="text1"/>
          <w:shd w:val="clear" w:color="auto" w:fill="FFFFFF"/>
        </w:rPr>
      </w:pPr>
    </w:p>
    <w:p w:rsidR="00BB2DF5" w:rsidRPr="000A0087" w:rsidRDefault="00BB2DF5" w:rsidP="00D132F3">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0" w:line="240" w:lineRule="auto"/>
        <w:jc w:val="center"/>
        <w:rPr>
          <w:rFonts w:cs="Times New Roman"/>
          <w:b/>
          <w:bCs/>
          <w:color w:val="000000" w:themeColor="text1"/>
          <w:sz w:val="24"/>
          <w:shd w:val="clear" w:color="auto" w:fill="FFFFFF"/>
        </w:rPr>
      </w:pPr>
      <w:r w:rsidRPr="000A0087">
        <w:rPr>
          <w:rFonts w:cs="Times New Roman"/>
          <w:b/>
          <w:bCs/>
          <w:color w:val="000000" w:themeColor="text1"/>
          <w:sz w:val="24"/>
          <w:shd w:val="clear" w:color="auto" w:fill="FFFFFF"/>
        </w:rPr>
        <w:t>Kiedy kończy się płodność…</w:t>
      </w:r>
    </w:p>
    <w:p w:rsidR="00BB2DF5" w:rsidRPr="000A0087" w:rsidRDefault="00BB2DF5" w:rsidP="007E365B">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0" w:line="240" w:lineRule="auto"/>
        <w:jc w:val="both"/>
        <w:rPr>
          <w:rFonts w:cs="Times New Roman"/>
          <w:b/>
          <w:bCs/>
          <w:color w:val="000000" w:themeColor="text1"/>
          <w:sz w:val="24"/>
          <w:shd w:val="clear" w:color="auto" w:fill="FFFFFF"/>
        </w:rPr>
      </w:pPr>
    </w:p>
    <w:p w:rsidR="00BB2DF5" w:rsidRPr="000A0087" w:rsidRDefault="00BB2DF5" w:rsidP="007E365B">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0" w:line="240" w:lineRule="auto"/>
        <w:jc w:val="both"/>
        <w:rPr>
          <w:rFonts w:cs="Times New Roman"/>
          <w:b/>
          <w:bCs/>
          <w:color w:val="000000" w:themeColor="text1"/>
          <w:sz w:val="24"/>
          <w:shd w:val="clear" w:color="auto" w:fill="FFFFFF"/>
        </w:rPr>
      </w:pPr>
      <w:r w:rsidRPr="000A0087">
        <w:rPr>
          <w:rFonts w:cs="Times New Roman"/>
          <w:b/>
          <w:bCs/>
          <w:color w:val="000000" w:themeColor="text1"/>
          <w:sz w:val="24"/>
          <w:shd w:val="clear" w:color="auto" w:fill="FFFFFF"/>
        </w:rPr>
        <w:t xml:space="preserve">Okres okołomenopauzalny wiąże się ze stopniowym spadkiem płodności. Kobiety aktywne seksualnie, które stosują rozwiązania hormonalne, mogą nie wiedzieć, czy to jeszcze czas na antykoncepcję czy już terapię menopauzalną? Kiedy rzeczywiście można mówić o końcu płodności i zdecydować się na zmianę hormonalnego rozwiązania? Odpowiadamy na te pytania wraz z ekspertem portalu „Zdrowa ONA”, ginekologiem i seksuologiem, prof. dr n. med. Violettą Skrzypulec-Plintą. </w:t>
      </w:r>
    </w:p>
    <w:p w:rsidR="00BB2DF5" w:rsidRPr="000A0087" w:rsidRDefault="00BB2DF5" w:rsidP="007E365B">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0" w:line="240" w:lineRule="auto"/>
        <w:jc w:val="both"/>
        <w:rPr>
          <w:rFonts w:cs="Times New Roman"/>
          <w:color w:val="000000" w:themeColor="text1"/>
          <w:sz w:val="24"/>
          <w:shd w:val="clear" w:color="auto" w:fill="FFFFFF"/>
        </w:rPr>
      </w:pPr>
    </w:p>
    <w:p w:rsidR="00BB2DF5" w:rsidRPr="000A0087" w:rsidRDefault="00BB2DF5" w:rsidP="00E93A81">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0" w:line="240" w:lineRule="auto"/>
        <w:jc w:val="both"/>
        <w:rPr>
          <w:rFonts w:cs="Times New Roman"/>
          <w:color w:val="000000" w:themeColor="text1"/>
          <w:sz w:val="24"/>
          <w:shd w:val="clear" w:color="auto" w:fill="FFFFFF"/>
        </w:rPr>
      </w:pPr>
      <w:r w:rsidRPr="000A0087">
        <w:rPr>
          <w:rFonts w:cs="Times New Roman"/>
          <w:i/>
          <w:color w:val="000000" w:themeColor="text1"/>
          <w:sz w:val="24"/>
          <w:shd w:val="clear" w:color="auto" w:fill="FFFFFF"/>
        </w:rPr>
        <w:t>W okresie okołomenopauzalnym możemy mówić o mniejszym prawdopodobieństwie zajścia w ciążę.</w:t>
      </w:r>
      <w:r w:rsidRPr="000A0087">
        <w:rPr>
          <w:rFonts w:cs="Times New Roman"/>
          <w:color w:val="000000" w:themeColor="text1"/>
          <w:sz w:val="24"/>
          <w:shd w:val="clear" w:color="auto" w:fill="FFFFFF"/>
        </w:rPr>
        <w:t xml:space="preserve"> </w:t>
      </w:r>
      <w:r w:rsidRPr="000A0087">
        <w:rPr>
          <w:rFonts w:cs="Times New Roman"/>
          <w:i/>
          <w:color w:val="000000" w:themeColor="text1"/>
          <w:sz w:val="24"/>
          <w:shd w:val="clear" w:color="auto" w:fill="FFFFFF"/>
        </w:rPr>
        <w:t>W tym czasie jajniki produkują coraz mniej estrogenów, następuje zaburzenie owulacji oraz obniżenie jakości komórek jajowych.</w:t>
      </w:r>
      <w:r w:rsidRPr="000A0087">
        <w:rPr>
          <w:rFonts w:cs="Times New Roman"/>
          <w:color w:val="000000" w:themeColor="text1"/>
          <w:sz w:val="24"/>
          <w:shd w:val="clear" w:color="auto" w:fill="FFFFFF"/>
        </w:rPr>
        <w:t xml:space="preserve"> </w:t>
      </w:r>
      <w:r w:rsidRPr="000A0087">
        <w:rPr>
          <w:rFonts w:cs="Times New Roman"/>
          <w:i/>
          <w:color w:val="000000" w:themeColor="text1"/>
          <w:sz w:val="24"/>
          <w:shd w:val="clear" w:color="auto" w:fill="FFFFFF"/>
        </w:rPr>
        <w:t>O zupełnym końcu płodności możemy mówić dopiero w momencie menopauzy, kiedy jajniki zupełnie zaprzestają ich produkcji</w:t>
      </w:r>
      <w:r w:rsidRPr="000A0087">
        <w:rPr>
          <w:rFonts w:cs="Times New Roman"/>
          <w:i/>
          <w:color w:val="000000" w:themeColor="text1"/>
          <w:sz w:val="24"/>
        </w:rPr>
        <w:t>. Menopauza to nowy etap w życiu kobiety,  co nie oznacza jednak, że musi ona w tym czasie zrezygnować z aktywności seksualnej. -</w:t>
      </w:r>
      <w:r w:rsidRPr="000A0087">
        <w:rPr>
          <w:rFonts w:cs="Times New Roman"/>
          <w:color w:val="000000" w:themeColor="text1"/>
          <w:sz w:val="24"/>
        </w:rPr>
        <w:t xml:space="preserve"> </w:t>
      </w:r>
      <w:r w:rsidRPr="000A0087">
        <w:rPr>
          <w:rFonts w:cs="Times New Roman"/>
          <w:b/>
          <w:color w:val="000000" w:themeColor="text1"/>
          <w:sz w:val="24"/>
        </w:rPr>
        <w:t xml:space="preserve">wyjaśnia ekspert programu „Zdrowa ONA” - ginekolog, seksuolog prof. dr n. med. Violetta Skrzypulec-Plinta. </w:t>
      </w:r>
    </w:p>
    <w:p w:rsidR="00BB2DF5" w:rsidRPr="000A0087" w:rsidRDefault="00BB2DF5" w:rsidP="007B2FCE">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0" w:line="240" w:lineRule="auto"/>
        <w:jc w:val="both"/>
        <w:rPr>
          <w:rFonts w:cs="Times New Roman"/>
          <w:b/>
          <w:color w:val="000000" w:themeColor="text1"/>
          <w:sz w:val="24"/>
        </w:rPr>
      </w:pPr>
    </w:p>
    <w:p w:rsidR="00BB2DF5" w:rsidRPr="000A0087" w:rsidRDefault="00BB2DF5" w:rsidP="006067EF">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0" w:line="240" w:lineRule="auto"/>
        <w:jc w:val="center"/>
        <w:rPr>
          <w:rFonts w:cs="Times New Roman"/>
          <w:b/>
          <w:color w:val="000000" w:themeColor="text1"/>
          <w:sz w:val="24"/>
        </w:rPr>
      </w:pPr>
      <w:r w:rsidRPr="000A0087">
        <w:rPr>
          <w:rFonts w:cs="Times New Roman"/>
          <w:b/>
          <w:color w:val="000000" w:themeColor="text1"/>
          <w:sz w:val="24"/>
        </w:rPr>
        <w:t>Czy to już menopauza?</w:t>
      </w:r>
    </w:p>
    <w:p w:rsidR="00BB2DF5" w:rsidRPr="000A0087" w:rsidRDefault="00BB2DF5" w:rsidP="006067EF">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0" w:line="240" w:lineRule="auto"/>
        <w:jc w:val="both"/>
        <w:rPr>
          <w:rFonts w:cs="Times New Roman"/>
          <w:color w:val="000000" w:themeColor="text1"/>
          <w:sz w:val="24"/>
        </w:rPr>
      </w:pPr>
    </w:p>
    <w:p w:rsidR="00BB2DF5" w:rsidRPr="000A0087" w:rsidRDefault="000A0087" w:rsidP="006067EF">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40" w:line="240" w:lineRule="auto"/>
        <w:jc w:val="both"/>
        <w:rPr>
          <w:rFonts w:cs="Times New Roman"/>
          <w:color w:val="000000" w:themeColor="text1"/>
          <w:sz w:val="24"/>
        </w:rPr>
      </w:pPr>
      <w:r w:rsidRPr="000A0087">
        <w:rPr>
          <w:rFonts w:cs="Times New Roman"/>
          <w:color w:val="000000" w:themeColor="text1"/>
          <w:sz w:val="24"/>
        </w:rPr>
        <w:t>O</w:t>
      </w:r>
      <w:r w:rsidR="00463CD2" w:rsidRPr="000A0087">
        <w:rPr>
          <w:rFonts w:cs="Times New Roman"/>
          <w:color w:val="000000" w:themeColor="text1"/>
          <w:sz w:val="24"/>
        </w:rPr>
        <w:t xml:space="preserve">statnie krwawienie miesiączkowe zwane menopauzą </w:t>
      </w:r>
      <w:r w:rsidRPr="000A0087">
        <w:rPr>
          <w:rFonts w:cs="Times New Roman"/>
          <w:color w:val="000000" w:themeColor="text1"/>
          <w:sz w:val="24"/>
        </w:rPr>
        <w:t xml:space="preserve">wśród Europejek </w:t>
      </w:r>
      <w:r w:rsidR="00463CD2" w:rsidRPr="000A0087">
        <w:rPr>
          <w:rFonts w:cs="Times New Roman"/>
          <w:color w:val="000000" w:themeColor="text1"/>
          <w:sz w:val="24"/>
        </w:rPr>
        <w:t>występuje średnio w 50.</w:t>
      </w:r>
      <w:r w:rsidR="00BB2DF5" w:rsidRPr="000A0087">
        <w:rPr>
          <w:rFonts w:cs="Times New Roman"/>
          <w:color w:val="000000" w:themeColor="text1"/>
          <w:sz w:val="24"/>
        </w:rPr>
        <w:t xml:space="preserve"> roku życia. </w:t>
      </w:r>
      <w:r w:rsidR="00463CD2" w:rsidRPr="000A0087">
        <w:rPr>
          <w:rFonts w:cs="Times New Roman"/>
          <w:color w:val="000000" w:themeColor="text1"/>
          <w:sz w:val="24"/>
        </w:rPr>
        <w:t>Warunkiem stwierdzenia jej wystąpienia jest całkowity brak krwawień prz</w:t>
      </w:r>
      <w:r w:rsidRPr="000A0087">
        <w:rPr>
          <w:rFonts w:cs="Times New Roman"/>
          <w:color w:val="000000" w:themeColor="text1"/>
          <w:sz w:val="24"/>
        </w:rPr>
        <w:t xml:space="preserve">ez okres kolejnych 12 miesięcy. Menopauzę poprzedzają tak zwana premenopauza i perimenopauza, </w:t>
      </w:r>
      <w:r w:rsidR="00463CD2" w:rsidRPr="000A0087">
        <w:rPr>
          <w:rFonts w:cs="Times New Roman"/>
          <w:color w:val="000000" w:themeColor="text1"/>
          <w:sz w:val="24"/>
        </w:rPr>
        <w:t xml:space="preserve">w których </w:t>
      </w:r>
      <w:r w:rsidRPr="000A0087">
        <w:rPr>
          <w:rFonts w:cs="Times New Roman"/>
          <w:color w:val="000000" w:themeColor="text1"/>
          <w:sz w:val="24"/>
        </w:rPr>
        <w:t>zmienia się charakter cykli</w:t>
      </w:r>
      <w:r w:rsidR="00463CD2" w:rsidRPr="000A0087">
        <w:rPr>
          <w:rFonts w:cs="Times New Roman"/>
          <w:color w:val="000000" w:themeColor="text1"/>
          <w:sz w:val="24"/>
        </w:rPr>
        <w:t xml:space="preserve"> miesiączkowych</w:t>
      </w:r>
      <w:r w:rsidRPr="000A0087">
        <w:rPr>
          <w:rFonts w:cs="Times New Roman"/>
          <w:color w:val="000000" w:themeColor="text1"/>
          <w:sz w:val="24"/>
        </w:rPr>
        <w:t>, która może objawiać się</w:t>
      </w:r>
      <w:r w:rsidR="00463CD2" w:rsidRPr="000A0087">
        <w:rPr>
          <w:rFonts w:cs="Times New Roman"/>
          <w:color w:val="000000" w:themeColor="text1"/>
          <w:sz w:val="24"/>
        </w:rPr>
        <w:t xml:space="preserve"> </w:t>
      </w:r>
      <w:r w:rsidRPr="000A0087">
        <w:rPr>
          <w:rFonts w:cs="Times New Roman"/>
          <w:color w:val="000000" w:themeColor="text1"/>
          <w:sz w:val="24"/>
        </w:rPr>
        <w:t xml:space="preserve">ich </w:t>
      </w:r>
      <w:r w:rsidR="00463CD2" w:rsidRPr="000A0087">
        <w:rPr>
          <w:rFonts w:cs="Times New Roman"/>
          <w:color w:val="000000" w:themeColor="text1"/>
          <w:sz w:val="24"/>
        </w:rPr>
        <w:t>wydłużanie</w:t>
      </w:r>
      <w:r w:rsidRPr="000A0087">
        <w:rPr>
          <w:rFonts w:cs="Times New Roman"/>
          <w:color w:val="000000" w:themeColor="text1"/>
          <w:sz w:val="24"/>
        </w:rPr>
        <w:t>m, nieregularnością</w:t>
      </w:r>
      <w:r w:rsidR="00463CD2" w:rsidRPr="000A0087">
        <w:rPr>
          <w:rFonts w:cs="Times New Roman"/>
          <w:color w:val="000000" w:themeColor="text1"/>
          <w:sz w:val="24"/>
        </w:rPr>
        <w:t xml:space="preserve"> oraz </w:t>
      </w:r>
      <w:r w:rsidRPr="000A0087">
        <w:rPr>
          <w:rFonts w:cs="Times New Roman"/>
          <w:color w:val="000000" w:themeColor="text1"/>
          <w:sz w:val="24"/>
        </w:rPr>
        <w:t>obfitością</w:t>
      </w:r>
      <w:r w:rsidR="00463CD2" w:rsidRPr="000A0087">
        <w:rPr>
          <w:rFonts w:cs="Times New Roman"/>
          <w:color w:val="000000" w:themeColor="text1"/>
          <w:sz w:val="24"/>
        </w:rPr>
        <w:t xml:space="preserve">. By </w:t>
      </w:r>
      <w:r w:rsidR="00BB2DF5" w:rsidRPr="000A0087">
        <w:rPr>
          <w:rFonts w:cs="Times New Roman"/>
          <w:color w:val="000000" w:themeColor="text1"/>
          <w:sz w:val="24"/>
        </w:rPr>
        <w:t xml:space="preserve">wykluczyć lub potwierdzić menopauzę, konieczna jest wizyta u specjalisty oraz wykonanie </w:t>
      </w:r>
      <w:r w:rsidR="00463CD2" w:rsidRPr="000A0087">
        <w:rPr>
          <w:rFonts w:cs="Times New Roman"/>
          <w:color w:val="000000" w:themeColor="text1"/>
          <w:sz w:val="24"/>
        </w:rPr>
        <w:t>zleconych</w:t>
      </w:r>
      <w:r w:rsidR="00BB2DF5" w:rsidRPr="000A0087">
        <w:rPr>
          <w:rFonts w:cs="Times New Roman"/>
          <w:color w:val="000000" w:themeColor="text1"/>
          <w:sz w:val="24"/>
        </w:rPr>
        <w:t xml:space="preserve"> badań</w:t>
      </w:r>
      <w:r w:rsidR="00463CD2" w:rsidRPr="000A0087">
        <w:rPr>
          <w:rFonts w:cs="Times New Roman"/>
          <w:color w:val="000000" w:themeColor="text1"/>
          <w:sz w:val="24"/>
        </w:rPr>
        <w:t xml:space="preserve"> laboratoryjnych</w:t>
      </w:r>
      <w:r w:rsidR="00BB2DF5" w:rsidRPr="000A0087">
        <w:rPr>
          <w:rFonts w:cs="Times New Roman"/>
          <w:color w:val="000000" w:themeColor="text1"/>
          <w:sz w:val="24"/>
        </w:rPr>
        <w:t>.</w:t>
      </w:r>
    </w:p>
    <w:p w:rsidR="00BB2DF5" w:rsidRPr="000A0087" w:rsidRDefault="00BB2DF5" w:rsidP="006067EF">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0" w:line="240" w:lineRule="auto"/>
        <w:jc w:val="both"/>
        <w:rPr>
          <w:rFonts w:cs="Times New Roman"/>
          <w:b/>
          <w:color w:val="000000" w:themeColor="text1"/>
          <w:sz w:val="24"/>
        </w:rPr>
      </w:pPr>
      <w:r w:rsidRPr="000A0087">
        <w:rPr>
          <w:rFonts w:cs="Times New Roman"/>
          <w:i/>
          <w:color w:val="000000" w:themeColor="text1"/>
          <w:sz w:val="24"/>
        </w:rPr>
        <w:t>Ostateczna diagnoza menopauzy może nastąpić dopiero po dokonaniu przez ginekologa-endokrynologa rozpoznania i wykonania u kobi</w:t>
      </w:r>
      <w:r w:rsidR="00463CD2" w:rsidRPr="000A0087">
        <w:rPr>
          <w:rFonts w:cs="Times New Roman"/>
          <w:i/>
          <w:color w:val="000000" w:themeColor="text1"/>
          <w:sz w:val="24"/>
        </w:rPr>
        <w:t>ety podstawowych badań. Określenie płodności jak również</w:t>
      </w:r>
      <w:r w:rsidR="000A0087" w:rsidRPr="000A0087">
        <w:rPr>
          <w:rFonts w:cs="Times New Roman"/>
          <w:i/>
          <w:color w:val="000000" w:themeColor="text1"/>
          <w:sz w:val="24"/>
        </w:rPr>
        <w:t xml:space="preserve"> </w:t>
      </w:r>
      <w:r w:rsidR="00463CD2" w:rsidRPr="000A0087">
        <w:rPr>
          <w:rFonts w:cs="Times New Roman"/>
          <w:i/>
          <w:color w:val="000000" w:themeColor="text1"/>
          <w:sz w:val="24"/>
        </w:rPr>
        <w:t>potwierdzenie wygaśnięcia</w:t>
      </w:r>
      <w:r w:rsidRPr="000A0087">
        <w:rPr>
          <w:rFonts w:cs="Times New Roman"/>
          <w:i/>
          <w:color w:val="000000" w:themeColor="text1"/>
          <w:sz w:val="24"/>
        </w:rPr>
        <w:t xml:space="preserve"> czynności jajników pozwoli </w:t>
      </w:r>
      <w:r w:rsidR="00463CD2" w:rsidRPr="000A0087">
        <w:rPr>
          <w:rFonts w:cs="Times New Roman"/>
          <w:i/>
          <w:color w:val="000000" w:themeColor="text1"/>
          <w:sz w:val="24"/>
        </w:rPr>
        <w:t xml:space="preserve">oznaczenie </w:t>
      </w:r>
      <w:r w:rsidR="000A0087" w:rsidRPr="000A0087">
        <w:rPr>
          <w:rFonts w:cs="Times New Roman"/>
          <w:i/>
          <w:color w:val="000000" w:themeColor="text1"/>
          <w:sz w:val="24"/>
        </w:rPr>
        <w:t xml:space="preserve">stężenia hormonów FSH </w:t>
      </w:r>
      <w:r w:rsidRPr="000A0087">
        <w:rPr>
          <w:rFonts w:cs="Times New Roman"/>
          <w:i/>
          <w:color w:val="000000" w:themeColor="text1"/>
          <w:sz w:val="24"/>
        </w:rPr>
        <w:t xml:space="preserve">i estradiolu wykonane na początku cyklu menstruacyjnego. Pomocna może być także tak zwana ocena rezerwy jajnikowej, która polega na analizie stężenia hormonu  AMH, a w razie dodatkowej potrzeby także inhibiny B. - </w:t>
      </w:r>
      <w:r w:rsidRPr="000A0087">
        <w:rPr>
          <w:rFonts w:cs="Times New Roman"/>
          <w:b/>
          <w:color w:val="000000" w:themeColor="text1"/>
          <w:sz w:val="24"/>
        </w:rPr>
        <w:t xml:space="preserve">dodaje ekspert programu „Zdrowa ONA” - ginekolog, seksuolog, prof. dr n. med Violetta Skrzypulec-Plinta. </w:t>
      </w:r>
    </w:p>
    <w:p w:rsidR="00BB2DF5" w:rsidRPr="000A0087" w:rsidRDefault="00BB2DF5" w:rsidP="006067EF">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0" w:line="240" w:lineRule="auto"/>
        <w:rPr>
          <w:rFonts w:cs="Times New Roman"/>
          <w:b/>
          <w:color w:val="000000" w:themeColor="text1"/>
          <w:sz w:val="24"/>
        </w:rPr>
      </w:pPr>
    </w:p>
    <w:p w:rsidR="00BB2DF5" w:rsidRPr="000A0087" w:rsidRDefault="00BB2DF5" w:rsidP="00614266">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0" w:line="240" w:lineRule="auto"/>
        <w:jc w:val="center"/>
        <w:rPr>
          <w:rFonts w:cs="Times New Roman"/>
          <w:b/>
          <w:color w:val="000000" w:themeColor="text1"/>
          <w:sz w:val="24"/>
        </w:rPr>
      </w:pPr>
      <w:r w:rsidRPr="000A0087">
        <w:rPr>
          <w:rFonts w:cs="Times New Roman"/>
          <w:b/>
          <w:color w:val="000000" w:themeColor="text1"/>
          <w:sz w:val="24"/>
        </w:rPr>
        <w:t>Czy powinnam się jeszcze zabezpieczać?</w:t>
      </w:r>
    </w:p>
    <w:p w:rsidR="00BB2DF5" w:rsidRPr="000A0087" w:rsidRDefault="00BB2DF5" w:rsidP="00614266">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0" w:line="240" w:lineRule="auto"/>
        <w:jc w:val="both"/>
        <w:rPr>
          <w:rFonts w:cs="Times New Roman"/>
          <w:color w:val="000000" w:themeColor="text1"/>
          <w:sz w:val="24"/>
        </w:rPr>
      </w:pPr>
    </w:p>
    <w:p w:rsidR="00BB2DF5" w:rsidRPr="000A0087" w:rsidRDefault="00463CD2" w:rsidP="00614266">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0" w:line="240" w:lineRule="auto"/>
        <w:jc w:val="both"/>
        <w:rPr>
          <w:rFonts w:cs="Times New Roman"/>
          <w:color w:val="000000" w:themeColor="text1"/>
          <w:sz w:val="24"/>
        </w:rPr>
      </w:pPr>
      <w:r w:rsidRPr="000A0087">
        <w:rPr>
          <w:rFonts w:cs="Times New Roman"/>
          <w:color w:val="000000" w:themeColor="text1"/>
          <w:sz w:val="24"/>
        </w:rPr>
        <w:t>To bardzo ważna kwestia, ponieważ o</w:t>
      </w:r>
      <w:r w:rsidR="00BB2DF5" w:rsidRPr="000A0087">
        <w:rPr>
          <w:rFonts w:cs="Times New Roman"/>
          <w:color w:val="000000" w:themeColor="text1"/>
          <w:sz w:val="24"/>
        </w:rPr>
        <w:t>kres miesiączkowania w czasie poprzedzającym m</w:t>
      </w:r>
      <w:r w:rsidR="0002292A" w:rsidRPr="000A0087">
        <w:rPr>
          <w:rFonts w:cs="Times New Roman"/>
          <w:color w:val="000000" w:themeColor="text1"/>
          <w:sz w:val="24"/>
        </w:rPr>
        <w:t>enopauzę bywa nieprzewidywalny. Mając na celu jego regulację oraz zabezpieczanie</w:t>
      </w:r>
      <w:r w:rsidR="00BB2DF5" w:rsidRPr="000A0087">
        <w:rPr>
          <w:rFonts w:cs="Times New Roman"/>
          <w:color w:val="000000" w:themeColor="text1"/>
          <w:sz w:val="24"/>
        </w:rPr>
        <w:t xml:space="preserve"> się przez nieplanowaną ciążą, aktywna seksualnie kobieta powinna stosować dogodną dla siebie formę antykoncepcji. </w:t>
      </w:r>
    </w:p>
    <w:p w:rsidR="00BB2DF5" w:rsidRPr="000A0087" w:rsidRDefault="00BB2DF5" w:rsidP="00614266">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0" w:line="240" w:lineRule="auto"/>
        <w:jc w:val="both"/>
        <w:rPr>
          <w:rFonts w:cs="Times New Roman"/>
          <w:color w:val="000000" w:themeColor="text1"/>
          <w:sz w:val="24"/>
        </w:rPr>
      </w:pPr>
    </w:p>
    <w:p w:rsidR="00BB2DF5" w:rsidRPr="000A0087" w:rsidRDefault="00BB2DF5" w:rsidP="00614266">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0" w:line="240" w:lineRule="auto"/>
        <w:jc w:val="both"/>
        <w:rPr>
          <w:rFonts w:cs="Times New Roman"/>
          <w:i/>
          <w:color w:val="000000" w:themeColor="text1"/>
          <w:sz w:val="24"/>
        </w:rPr>
      </w:pPr>
      <w:r w:rsidRPr="000A0087">
        <w:rPr>
          <w:rFonts w:cs="Times New Roman"/>
          <w:i/>
          <w:color w:val="000000" w:themeColor="text1"/>
          <w:sz w:val="24"/>
        </w:rPr>
        <w:t xml:space="preserve">Wiek okołomenopauzalny związany jest między innymi z podwyższonym ryzykiem chorób układu sercowo-naczyniowego oraz chorób metabolicznych, dlatego rodzaj antykoncepcji dla kobiety tuż przed menopauzą musi uwzględniać jej indywidualny stan zdrowia. </w:t>
      </w:r>
      <w:r w:rsidR="0002292A" w:rsidRPr="000A0087">
        <w:rPr>
          <w:rFonts w:cs="Times New Roman"/>
          <w:i/>
          <w:color w:val="000000" w:themeColor="text1"/>
          <w:sz w:val="24"/>
        </w:rPr>
        <w:t xml:space="preserve">Dobra </w:t>
      </w:r>
      <w:r w:rsidR="0002292A" w:rsidRPr="000A0087">
        <w:rPr>
          <w:rFonts w:cs="Times New Roman"/>
          <w:i/>
          <w:color w:val="000000" w:themeColor="text1"/>
          <w:sz w:val="24"/>
        </w:rPr>
        <w:lastRenderedPageBreak/>
        <w:t>antykoncepcja to taka, która charakteryzuje się:</w:t>
      </w:r>
      <w:r w:rsidRPr="000A0087">
        <w:rPr>
          <w:rFonts w:cs="Times New Roman"/>
          <w:i/>
          <w:color w:val="000000" w:themeColor="text1"/>
          <w:sz w:val="24"/>
        </w:rPr>
        <w:t xml:space="preserve"> skutecznością, komfortem stosowania oraz wysokim profilem bezpieczeństwa. Antykoncepcja może być także sposobem na walkę z wczesnymi objawami menopauzalnymi. W zależności od stanu zdrowia i potrzeb kobiety w tym czasie mogą stosować dwuskładnikową antykoncepcję hormonalną o obniżonej dawce hormonów, minipigułki czy wkładki wewnątrzmaciczne. - </w:t>
      </w:r>
      <w:r w:rsidRPr="000A0087">
        <w:rPr>
          <w:rFonts w:cs="Times New Roman"/>
          <w:b/>
          <w:color w:val="000000" w:themeColor="text1"/>
          <w:sz w:val="24"/>
        </w:rPr>
        <w:t>komentuje ekspert programu „Zdrowa ONA” prof. dr n.med. Violetta Skrzypulec-Plinta.</w:t>
      </w:r>
    </w:p>
    <w:p w:rsidR="00BB2DF5" w:rsidRPr="000A0087" w:rsidRDefault="00BB2DF5" w:rsidP="00E93A81">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0" w:line="240" w:lineRule="auto"/>
        <w:jc w:val="both"/>
        <w:rPr>
          <w:rFonts w:cs="Times New Roman"/>
          <w:b/>
          <w:color w:val="000000" w:themeColor="text1"/>
          <w:sz w:val="24"/>
        </w:rPr>
      </w:pPr>
    </w:p>
    <w:p w:rsidR="00BB2DF5" w:rsidRPr="000A0087" w:rsidRDefault="00BB2DF5" w:rsidP="007B2FCE">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40" w:line="240" w:lineRule="auto"/>
        <w:jc w:val="center"/>
        <w:rPr>
          <w:rFonts w:cs="Times New Roman"/>
          <w:b/>
          <w:bCs/>
          <w:color w:val="000000" w:themeColor="text1"/>
          <w:sz w:val="24"/>
        </w:rPr>
      </w:pPr>
      <w:r w:rsidRPr="000A0087">
        <w:rPr>
          <w:rFonts w:cs="Times New Roman"/>
          <w:b/>
          <w:bCs/>
          <w:color w:val="000000" w:themeColor="text1"/>
          <w:sz w:val="24"/>
        </w:rPr>
        <w:t>Antykoncepcja czy HTM?</w:t>
      </w:r>
    </w:p>
    <w:p w:rsidR="00BB2DF5" w:rsidRPr="000A0087" w:rsidRDefault="00BB2DF5" w:rsidP="00614266">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0" w:line="240" w:lineRule="auto"/>
        <w:jc w:val="both"/>
        <w:rPr>
          <w:rFonts w:cs="Times New Roman"/>
          <w:i/>
          <w:color w:val="000000" w:themeColor="text1"/>
          <w:sz w:val="24"/>
        </w:rPr>
      </w:pPr>
      <w:r w:rsidRPr="000A0087">
        <w:rPr>
          <w:rFonts w:cs="Times New Roman"/>
          <w:i/>
          <w:color w:val="000000" w:themeColor="text1"/>
          <w:sz w:val="24"/>
        </w:rPr>
        <w:t>Zmianę antykoncepcji na HTM</w:t>
      </w:r>
      <w:r w:rsidR="0002292A" w:rsidRPr="000A0087">
        <w:rPr>
          <w:rFonts w:cs="Times New Roman"/>
          <w:i/>
          <w:color w:val="000000" w:themeColor="text1"/>
          <w:sz w:val="24"/>
        </w:rPr>
        <w:t xml:space="preserve"> </w:t>
      </w:r>
      <w:r w:rsidR="000A0087" w:rsidRPr="000A0087">
        <w:rPr>
          <w:rFonts w:cs="Times New Roman"/>
          <w:i/>
          <w:color w:val="000000" w:themeColor="text1"/>
          <w:sz w:val="24"/>
        </w:rPr>
        <w:t>(Hormonalną Terapię Menopauzalną</w:t>
      </w:r>
      <w:r w:rsidR="0002292A" w:rsidRPr="000A0087">
        <w:rPr>
          <w:rFonts w:cs="Times New Roman"/>
          <w:i/>
          <w:color w:val="000000" w:themeColor="text1"/>
          <w:sz w:val="24"/>
        </w:rPr>
        <w:t>)</w:t>
      </w:r>
      <w:r w:rsidRPr="000A0087">
        <w:rPr>
          <w:rFonts w:cs="Times New Roman"/>
          <w:i/>
          <w:color w:val="000000" w:themeColor="text1"/>
          <w:sz w:val="24"/>
        </w:rPr>
        <w:t xml:space="preserve"> zazwyczaj zaleca się u kobiety, która osiągnęła wiek przewidywalnej menopauzy - średnio 50 lat. Wcześniej, rozpoczęcie stosowania hormonalnej terapii menopauzalnej należy rozważyć u kobiety, u której ocena stanu płodności wskazuje na wygaśnięcie czynności jajników lub stosuje ona inny rodzaj antykoncepcji niż dwuskładnikowa np. wkładkę maciczną uwalniającą lewonogestrel. Po dołączeniu do niej dawki estrogenów np. w postaci transdermalnego s</w:t>
      </w:r>
      <w:r w:rsidR="000A0087">
        <w:rPr>
          <w:rFonts w:cs="Times New Roman"/>
          <w:i/>
          <w:color w:val="000000" w:themeColor="text1"/>
          <w:sz w:val="24"/>
        </w:rPr>
        <w:t xml:space="preserve">prayu, może stać się bezpieczną </w:t>
      </w:r>
      <w:r w:rsidRPr="000A0087">
        <w:rPr>
          <w:rFonts w:cs="Times New Roman"/>
          <w:i/>
          <w:color w:val="000000" w:themeColor="text1"/>
          <w:sz w:val="24"/>
        </w:rPr>
        <w:t>i wygodną częścią hormonalnej terapii zastępczej. W okresie okołomenopauzalnym kobieta powinna obserwować swoje ciało, regularnie konsu</w:t>
      </w:r>
      <w:r w:rsidR="000A0087">
        <w:rPr>
          <w:rFonts w:cs="Times New Roman"/>
          <w:i/>
          <w:color w:val="000000" w:themeColor="text1"/>
          <w:sz w:val="24"/>
        </w:rPr>
        <w:t xml:space="preserve">ltować swój stan ze specjalistą </w:t>
      </w:r>
      <w:bookmarkStart w:id="0" w:name="_GoBack"/>
      <w:bookmarkEnd w:id="0"/>
      <w:r w:rsidRPr="000A0087">
        <w:rPr>
          <w:rFonts w:cs="Times New Roman"/>
          <w:i/>
          <w:color w:val="000000" w:themeColor="text1"/>
          <w:sz w:val="24"/>
        </w:rPr>
        <w:t xml:space="preserve">i sygnalizować wszelkie objawy sygnalizujące menopauzę. - </w:t>
      </w:r>
      <w:r w:rsidRPr="000A0087">
        <w:rPr>
          <w:rFonts w:cs="Times New Roman"/>
          <w:b/>
          <w:color w:val="000000" w:themeColor="text1"/>
          <w:sz w:val="24"/>
        </w:rPr>
        <w:t>wyjaśnia ekspert programu „Zdrowa ONA” prof. Violetta Skrzypulec-Plinta.</w:t>
      </w:r>
    </w:p>
    <w:p w:rsidR="00BB2DF5" w:rsidRPr="00A2382D" w:rsidRDefault="00BB2DF5" w:rsidP="005A67D0">
      <w:pPr>
        <w:pBdr>
          <w:top w:val="none" w:sz="0" w:space="0" w:color="auto"/>
          <w:left w:val="none" w:sz="0" w:space="0" w:color="auto"/>
          <w:bottom w:val="none" w:sz="0" w:space="0" w:color="auto"/>
          <w:right w:val="none" w:sz="0" w:space="0" w:color="auto"/>
          <w:bar w:val="none" w:sz="0" w:color="auto"/>
        </w:pBdr>
        <w:spacing w:after="120"/>
        <w:jc w:val="right"/>
        <w:rPr>
          <w:rFonts w:ascii="Times New Roman" w:hAnsi="Times New Roman" w:cs="Times New Roman"/>
          <w:color w:val="auto"/>
          <w:sz w:val="24"/>
          <w:szCs w:val="24"/>
        </w:rPr>
      </w:pPr>
    </w:p>
    <w:sectPr w:rsidR="00BB2DF5" w:rsidRPr="00A2382D" w:rsidSect="007E365B">
      <w:headerReference w:type="default" r:id="rId7"/>
      <w:footerReference w:type="default" r:id="rId8"/>
      <w:pgSz w:w="11900" w:h="16840"/>
      <w:pgMar w:top="1985" w:right="1417" w:bottom="1417" w:left="1417" w:header="0" w:footer="51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C82" w:rsidRDefault="00311C82">
      <w:pPr>
        <w:pBdr>
          <w:top w:val="none" w:sz="0" w:space="0" w:color="auto"/>
          <w:left w:val="none" w:sz="0" w:space="0" w:color="auto"/>
          <w:bottom w:val="none" w:sz="0" w:space="0" w:color="auto"/>
          <w:right w:val="none" w:sz="0" w:space="0" w:color="auto"/>
          <w:bar w:val="none" w:sz="0" w:color="auto"/>
        </w:pBdr>
        <w:spacing w:after="0" w:line="240" w:lineRule="auto"/>
      </w:pPr>
      <w:r>
        <w:separator/>
      </w:r>
    </w:p>
  </w:endnote>
  <w:endnote w:type="continuationSeparator" w:id="0">
    <w:p w:rsidR="00311C82" w:rsidRDefault="00311C82">
      <w:pPr>
        <w:pBdr>
          <w:top w:val="none" w:sz="0" w:space="0" w:color="auto"/>
          <w:left w:val="none" w:sz="0" w:space="0" w:color="auto"/>
          <w:bottom w:val="none" w:sz="0" w:space="0" w:color="auto"/>
          <w:right w:val="none" w:sz="0" w:space="0" w:color="auto"/>
          <w:bar w:val="none" w:sz="0" w:color="auto"/>
        </w:pBd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DF5" w:rsidRDefault="00BB2DF5">
    <w:pPr>
      <w:pStyle w:val="Stopka"/>
      <w:pBdr>
        <w:top w:val="none" w:sz="0" w:space="0" w:color="auto"/>
        <w:left w:val="none" w:sz="0" w:space="0" w:color="auto"/>
        <w:bottom w:val="none" w:sz="0" w:space="0" w:color="auto"/>
        <w:right w:val="none" w:sz="0" w:space="0" w:color="auto"/>
        <w:bar w:val="none" w:sz="0" w:color="auto"/>
      </w:pBdr>
      <w:tabs>
        <w:tab w:val="clear" w:pos="9072"/>
        <w:tab w:val="right" w:pos="9046"/>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C82" w:rsidRDefault="00311C82">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311C82" w:rsidRDefault="00311C82">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rsidR="00311C82" w:rsidRDefault="00311C82">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DF5" w:rsidRDefault="0002292A">
    <w:pPr>
      <w:pStyle w:val="Nagwek"/>
      <w:pBdr>
        <w:top w:val="none" w:sz="0" w:space="0" w:color="auto"/>
        <w:left w:val="none" w:sz="0" w:space="0" w:color="auto"/>
        <w:bottom w:val="none" w:sz="0" w:space="0" w:color="auto"/>
        <w:right w:val="none" w:sz="0" w:space="0" w:color="auto"/>
        <w:bar w:val="none" w:sz="0" w:color="auto"/>
      </w:pBdr>
      <w:tabs>
        <w:tab w:val="clear" w:pos="9072"/>
        <w:tab w:val="right" w:pos="9046"/>
      </w:tabs>
      <w:jc w:val="center"/>
    </w:pPr>
    <w:r>
      <w:rPr>
        <w:noProof/>
      </w:rPr>
      <w:drawing>
        <wp:anchor distT="0" distB="0" distL="114300" distR="114300" simplePos="0" relativeHeight="251658240" behindDoc="0" locked="0" layoutInCell="1" allowOverlap="1">
          <wp:simplePos x="0" y="0"/>
          <wp:positionH relativeFrom="column">
            <wp:posOffset>-633095</wp:posOffset>
          </wp:positionH>
          <wp:positionV relativeFrom="paragraph">
            <wp:posOffset>161925</wp:posOffset>
          </wp:positionV>
          <wp:extent cx="2096135" cy="899795"/>
          <wp:effectExtent l="19050" t="0" r="0" b="0"/>
          <wp:wrapSquare wrapText="bothSides"/>
          <wp:docPr id="1" name="Obraz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logo"/>
                  <pic:cNvPicPr>
                    <a:picLocks noChangeAspect="1" noChangeArrowheads="1"/>
                  </pic:cNvPicPr>
                </pic:nvPicPr>
                <pic:blipFill>
                  <a:blip r:embed="rId1"/>
                  <a:srcRect/>
                  <a:stretch>
                    <a:fillRect/>
                  </a:stretch>
                </pic:blipFill>
                <pic:spPr bwMode="auto">
                  <a:xfrm>
                    <a:off x="0" y="0"/>
                    <a:ext cx="2096135" cy="899795"/>
                  </a:xfrm>
                  <a:prstGeom prst="rect">
                    <a:avLst/>
                  </a:prstGeom>
                  <a:noFill/>
                </pic:spPr>
              </pic:pic>
            </a:graphicData>
          </a:graphic>
        </wp:anchor>
      </w:drawing>
    </w:r>
    <w:r w:rsidR="000A0087">
      <w:rPr>
        <w:noProof/>
      </w:rPr>
      <mc:AlternateContent>
        <mc:Choice Requires="wps">
          <w:drawing>
            <wp:anchor distT="0" distB="0" distL="114300" distR="114300" simplePos="0" relativeHeight="251657216" behindDoc="0" locked="0" layoutInCell="1" allowOverlap="1">
              <wp:simplePos x="0" y="0"/>
              <wp:positionH relativeFrom="column">
                <wp:posOffset>-909320</wp:posOffset>
              </wp:positionH>
              <wp:positionV relativeFrom="paragraph">
                <wp:posOffset>-95250</wp:posOffset>
              </wp:positionV>
              <wp:extent cx="7591425" cy="1295400"/>
              <wp:effectExtent l="0" t="0" r="28575"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1425" cy="129540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1.6pt;margin-top:-7.5pt;width:597.75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" fillcolor="#c00000" strokecolor="#c0000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characterSpacingControl w:val="doNotCompress"/>
  <w:doNotValidateAgainstSchema/>
  <w:doNotDemarcateInvalidXml/>
  <w:hdrShapeDefaults>
    <o:shapedefaults v:ext="edit" spidmax="2051"/>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019"/>
    <w:rsid w:val="0001354B"/>
    <w:rsid w:val="0002292A"/>
    <w:rsid w:val="00054E03"/>
    <w:rsid w:val="00057043"/>
    <w:rsid w:val="00057A67"/>
    <w:rsid w:val="00085FD9"/>
    <w:rsid w:val="00086C48"/>
    <w:rsid w:val="00094A71"/>
    <w:rsid w:val="000A0087"/>
    <w:rsid w:val="000A2EA2"/>
    <w:rsid w:val="000E0905"/>
    <w:rsid w:val="001014FA"/>
    <w:rsid w:val="00114D1C"/>
    <w:rsid w:val="00122BC8"/>
    <w:rsid w:val="00155E5B"/>
    <w:rsid w:val="00187609"/>
    <w:rsid w:val="001A4C9A"/>
    <w:rsid w:val="001D30F6"/>
    <w:rsid w:val="002428FF"/>
    <w:rsid w:val="00252DA6"/>
    <w:rsid w:val="00285412"/>
    <w:rsid w:val="0028790C"/>
    <w:rsid w:val="002A65D8"/>
    <w:rsid w:val="00311C82"/>
    <w:rsid w:val="00316A61"/>
    <w:rsid w:val="00333A00"/>
    <w:rsid w:val="0034052E"/>
    <w:rsid w:val="0036113C"/>
    <w:rsid w:val="003752BC"/>
    <w:rsid w:val="00392BBB"/>
    <w:rsid w:val="003A31A2"/>
    <w:rsid w:val="00422AC5"/>
    <w:rsid w:val="0043683A"/>
    <w:rsid w:val="00447168"/>
    <w:rsid w:val="00463CD2"/>
    <w:rsid w:val="004A393E"/>
    <w:rsid w:val="004A7236"/>
    <w:rsid w:val="004D12BB"/>
    <w:rsid w:val="00522A8A"/>
    <w:rsid w:val="00532A28"/>
    <w:rsid w:val="00560E17"/>
    <w:rsid w:val="005A67D0"/>
    <w:rsid w:val="005B6EBB"/>
    <w:rsid w:val="005C6AB1"/>
    <w:rsid w:val="005E5D4C"/>
    <w:rsid w:val="006067EF"/>
    <w:rsid w:val="00614266"/>
    <w:rsid w:val="006258E0"/>
    <w:rsid w:val="0062681B"/>
    <w:rsid w:val="00664F34"/>
    <w:rsid w:val="00671267"/>
    <w:rsid w:val="006925B7"/>
    <w:rsid w:val="0069434E"/>
    <w:rsid w:val="00697D1D"/>
    <w:rsid w:val="006E2B30"/>
    <w:rsid w:val="006E329D"/>
    <w:rsid w:val="006E5C20"/>
    <w:rsid w:val="006F558B"/>
    <w:rsid w:val="00750FCD"/>
    <w:rsid w:val="00776D74"/>
    <w:rsid w:val="007A2527"/>
    <w:rsid w:val="007B2FCE"/>
    <w:rsid w:val="007B5113"/>
    <w:rsid w:val="007E365B"/>
    <w:rsid w:val="00820F2A"/>
    <w:rsid w:val="00825606"/>
    <w:rsid w:val="00861236"/>
    <w:rsid w:val="008854DD"/>
    <w:rsid w:val="00893625"/>
    <w:rsid w:val="008B746B"/>
    <w:rsid w:val="008C127D"/>
    <w:rsid w:val="00902644"/>
    <w:rsid w:val="009035E1"/>
    <w:rsid w:val="0090382B"/>
    <w:rsid w:val="00945360"/>
    <w:rsid w:val="00955810"/>
    <w:rsid w:val="00956659"/>
    <w:rsid w:val="00961F5C"/>
    <w:rsid w:val="00987FE2"/>
    <w:rsid w:val="009914A5"/>
    <w:rsid w:val="009A04F3"/>
    <w:rsid w:val="009D36BF"/>
    <w:rsid w:val="009D6462"/>
    <w:rsid w:val="009E05B4"/>
    <w:rsid w:val="009E3CD3"/>
    <w:rsid w:val="009F762D"/>
    <w:rsid w:val="00A05998"/>
    <w:rsid w:val="00A2382D"/>
    <w:rsid w:val="00A838BA"/>
    <w:rsid w:val="00AB77C1"/>
    <w:rsid w:val="00AD4902"/>
    <w:rsid w:val="00AE1F6E"/>
    <w:rsid w:val="00B34278"/>
    <w:rsid w:val="00B657DE"/>
    <w:rsid w:val="00B7057C"/>
    <w:rsid w:val="00BA7D4B"/>
    <w:rsid w:val="00BB2DF5"/>
    <w:rsid w:val="00BE1A33"/>
    <w:rsid w:val="00C0440D"/>
    <w:rsid w:val="00C12ACA"/>
    <w:rsid w:val="00C5386F"/>
    <w:rsid w:val="00C7608E"/>
    <w:rsid w:val="00C90F71"/>
    <w:rsid w:val="00CD7DED"/>
    <w:rsid w:val="00D05FF3"/>
    <w:rsid w:val="00D132F3"/>
    <w:rsid w:val="00D177D5"/>
    <w:rsid w:val="00D25906"/>
    <w:rsid w:val="00D46884"/>
    <w:rsid w:val="00DA1BA2"/>
    <w:rsid w:val="00DB5019"/>
    <w:rsid w:val="00DC1978"/>
    <w:rsid w:val="00E650E7"/>
    <w:rsid w:val="00E76547"/>
    <w:rsid w:val="00E93A81"/>
    <w:rsid w:val="00EB1D1A"/>
    <w:rsid w:val="00ED07EE"/>
    <w:rsid w:val="00F17925"/>
    <w:rsid w:val="00F30CF3"/>
    <w:rsid w:val="00F37809"/>
    <w:rsid w:val="00F400AB"/>
    <w:rsid w:val="00F62FB0"/>
    <w:rsid w:val="00FD4A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E329D"/>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6E329D"/>
    <w:rPr>
      <w:rFonts w:cs="Times New Roman"/>
      <w:u w:val="single"/>
    </w:rPr>
  </w:style>
  <w:style w:type="table" w:customStyle="1" w:styleId="TableNormal1">
    <w:name w:val="Table Normal1"/>
    <w:uiPriority w:val="99"/>
    <w:rsid w:val="006E329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sz w:val="20"/>
      <w:szCs w:val="20"/>
    </w:rPr>
    <w:tblPr>
      <w:tblInd w:w="0" w:type="dxa"/>
      <w:tblCellMar>
        <w:top w:w="0" w:type="dxa"/>
        <w:left w:w="0" w:type="dxa"/>
        <w:bottom w:w="0" w:type="dxa"/>
        <w:right w:w="0" w:type="dxa"/>
      </w:tblCellMar>
    </w:tblPr>
  </w:style>
  <w:style w:type="paragraph" w:styleId="Nagwek">
    <w:name w:val="header"/>
    <w:basedOn w:val="Normalny"/>
    <w:link w:val="NagwekZnak"/>
    <w:uiPriority w:val="99"/>
    <w:rsid w:val="006E329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5B6EBB"/>
    <w:rPr>
      <w:rFonts w:ascii="Calibri" w:hAnsi="Calibri" w:cs="Calibri"/>
      <w:color w:val="000000"/>
      <w:u w:color="000000"/>
    </w:rPr>
  </w:style>
  <w:style w:type="paragraph" w:styleId="Stopka">
    <w:name w:val="footer"/>
    <w:basedOn w:val="Normalny"/>
    <w:link w:val="StopkaZnak"/>
    <w:uiPriority w:val="99"/>
    <w:rsid w:val="006E329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locked/>
    <w:rsid w:val="005B6EBB"/>
    <w:rPr>
      <w:rFonts w:ascii="Calibri" w:hAnsi="Calibri" w:cs="Calibri"/>
      <w:color w:val="000000"/>
      <w:u w:color="000000"/>
    </w:rPr>
  </w:style>
  <w:style w:type="paragraph" w:styleId="Tekstprzypisudolnego">
    <w:name w:val="footnote text"/>
    <w:basedOn w:val="Normalny"/>
    <w:link w:val="TekstprzypisudolnegoZnak"/>
    <w:uiPriority w:val="99"/>
    <w:semiHidden/>
    <w:rsid w:val="006E329D"/>
    <w:rPr>
      <w:sz w:val="20"/>
      <w:szCs w:val="20"/>
    </w:rPr>
  </w:style>
  <w:style w:type="character" w:customStyle="1" w:styleId="TekstprzypisudolnegoZnak">
    <w:name w:val="Tekst przypisu dolnego Znak"/>
    <w:basedOn w:val="Domylnaczcionkaakapitu"/>
    <w:link w:val="Tekstprzypisudolnego"/>
    <w:uiPriority w:val="99"/>
    <w:semiHidden/>
    <w:locked/>
    <w:rsid w:val="005B6EBB"/>
    <w:rPr>
      <w:rFonts w:ascii="Calibri" w:hAnsi="Calibri" w:cs="Calibri"/>
      <w:color w:val="000000"/>
      <w:sz w:val="20"/>
      <w:szCs w:val="20"/>
      <w:u w:color="000000"/>
    </w:rPr>
  </w:style>
  <w:style w:type="paragraph" w:customStyle="1" w:styleId="Domylna">
    <w:name w:val="Domyślna"/>
    <w:uiPriority w:val="99"/>
    <w:rsid w:val="006E329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rPr>
  </w:style>
  <w:style w:type="paragraph" w:styleId="Tekstkomentarza">
    <w:name w:val="annotation text"/>
    <w:basedOn w:val="Normalny"/>
    <w:link w:val="TekstkomentarzaZnak"/>
    <w:uiPriority w:val="99"/>
    <w:semiHidden/>
    <w:rsid w:val="006E329D"/>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6E329D"/>
    <w:rPr>
      <w:rFonts w:ascii="Calibri" w:hAnsi="Calibri" w:cs="Calibri"/>
      <w:color w:val="000000"/>
      <w:u w:color="000000"/>
    </w:rPr>
  </w:style>
  <w:style w:type="character" w:styleId="Odwoaniedokomentarza">
    <w:name w:val="annotation reference"/>
    <w:basedOn w:val="Domylnaczcionkaakapitu"/>
    <w:uiPriority w:val="99"/>
    <w:semiHidden/>
    <w:rsid w:val="006E329D"/>
    <w:rPr>
      <w:rFonts w:cs="Times New Roman"/>
      <w:sz w:val="16"/>
      <w:szCs w:val="16"/>
    </w:rPr>
  </w:style>
  <w:style w:type="paragraph" w:styleId="Tekstdymka">
    <w:name w:val="Balloon Text"/>
    <w:basedOn w:val="Normalny"/>
    <w:link w:val="TekstdymkaZnak"/>
    <w:uiPriority w:val="99"/>
    <w:semiHidden/>
    <w:rsid w:val="00422A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22AC5"/>
    <w:rPr>
      <w:rFonts w:ascii="Tahoma" w:hAnsi="Tahoma" w:cs="Tahoma"/>
      <w:color w:val="000000"/>
      <w:sz w:val="16"/>
      <w:szCs w:val="16"/>
      <w:u w:color="000000"/>
    </w:rPr>
  </w:style>
  <w:style w:type="paragraph" w:styleId="Tematkomentarza">
    <w:name w:val="annotation subject"/>
    <w:basedOn w:val="Tekstkomentarza"/>
    <w:next w:val="Tekstkomentarza"/>
    <w:link w:val="TematkomentarzaZnak"/>
    <w:uiPriority w:val="99"/>
    <w:semiHidden/>
    <w:rsid w:val="00825606"/>
    <w:rPr>
      <w:b/>
      <w:bCs/>
    </w:rPr>
  </w:style>
  <w:style w:type="character" w:customStyle="1" w:styleId="TematkomentarzaZnak">
    <w:name w:val="Temat komentarza Znak"/>
    <w:basedOn w:val="TekstkomentarzaZnak"/>
    <w:link w:val="Tematkomentarza"/>
    <w:uiPriority w:val="99"/>
    <w:semiHidden/>
    <w:locked/>
    <w:rsid w:val="00825606"/>
    <w:rPr>
      <w:rFonts w:ascii="Calibri" w:hAnsi="Calibri" w:cs="Calibri"/>
      <w:b/>
      <w:bCs/>
      <w:color w:val="000000"/>
      <w:u w:color="000000"/>
    </w:rPr>
  </w:style>
  <w:style w:type="paragraph" w:styleId="NormalnyWeb">
    <w:name w:val="Normal (Web)"/>
    <w:basedOn w:val="Normalny"/>
    <w:uiPriority w:val="99"/>
    <w:rsid w:val="00987FE2"/>
    <w:p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pPr>
    <w:rPr>
      <w:rFonts w:ascii="Times New Roman" w:eastAsia="MS Mincho" w:hAnsi="Times New Roman" w:cs="Times New Roman"/>
      <w:color w:val="auto"/>
      <w:sz w:val="24"/>
      <w:szCs w:val="24"/>
      <w:lang w:eastAsia="ja-JP"/>
    </w:rPr>
  </w:style>
  <w:style w:type="character" w:styleId="Pogrubienie">
    <w:name w:val="Strong"/>
    <w:basedOn w:val="Domylnaczcionkaakapitu"/>
    <w:uiPriority w:val="99"/>
    <w:qFormat/>
    <w:rsid w:val="00987FE2"/>
    <w:rPr>
      <w:rFonts w:cs="Times New Roman"/>
      <w:b/>
      <w:bCs/>
    </w:rPr>
  </w:style>
  <w:style w:type="character" w:customStyle="1" w:styleId="apple-converted-space">
    <w:name w:val="apple-converted-space"/>
    <w:basedOn w:val="Domylnaczcionkaakapitu"/>
    <w:uiPriority w:val="99"/>
    <w:rsid w:val="00987FE2"/>
    <w:rPr>
      <w:rFonts w:cs="Times New Roman"/>
    </w:rPr>
  </w:style>
  <w:style w:type="character" w:styleId="UyteHipercze">
    <w:name w:val="FollowedHyperlink"/>
    <w:basedOn w:val="Domylnaczcionkaakapitu"/>
    <w:uiPriority w:val="99"/>
    <w:rsid w:val="006F558B"/>
    <w:rPr>
      <w:rFonts w:cs="Times New Roman"/>
      <w:color w:val="800080"/>
      <w:u w:val="single"/>
    </w:rPr>
  </w:style>
  <w:style w:type="character" w:styleId="Odwoanieprzypisudolnego">
    <w:name w:val="footnote reference"/>
    <w:basedOn w:val="Domylnaczcionkaakapitu"/>
    <w:uiPriority w:val="99"/>
    <w:semiHidden/>
    <w:rsid w:val="006E2B30"/>
    <w:rPr>
      <w:rFonts w:cs="Times New Roman"/>
      <w:vertAlign w:val="superscript"/>
    </w:rPr>
  </w:style>
  <w:style w:type="paragraph" w:styleId="Tekstprzypisukocowego">
    <w:name w:val="endnote text"/>
    <w:basedOn w:val="Normalny"/>
    <w:link w:val="TekstprzypisukocowegoZnak"/>
    <w:uiPriority w:val="99"/>
    <w:semiHidden/>
    <w:rsid w:val="00AE1F6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AE1F6E"/>
    <w:rPr>
      <w:rFonts w:ascii="Calibri" w:hAnsi="Calibri" w:cs="Calibri"/>
      <w:color w:val="000000"/>
      <w:sz w:val="20"/>
      <w:szCs w:val="20"/>
      <w:u w:color="000000"/>
      <w:lang w:val="pl-PL" w:eastAsia="pl-PL"/>
    </w:rPr>
  </w:style>
  <w:style w:type="character" w:styleId="Odwoanieprzypisukocowego">
    <w:name w:val="endnote reference"/>
    <w:basedOn w:val="Domylnaczcionkaakapitu"/>
    <w:uiPriority w:val="99"/>
    <w:semiHidden/>
    <w:rsid w:val="00AE1F6E"/>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E329D"/>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6E329D"/>
    <w:rPr>
      <w:rFonts w:cs="Times New Roman"/>
      <w:u w:val="single"/>
    </w:rPr>
  </w:style>
  <w:style w:type="table" w:customStyle="1" w:styleId="TableNormal1">
    <w:name w:val="Table Normal1"/>
    <w:uiPriority w:val="99"/>
    <w:rsid w:val="006E329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sz w:val="20"/>
      <w:szCs w:val="20"/>
    </w:rPr>
    <w:tblPr>
      <w:tblInd w:w="0" w:type="dxa"/>
      <w:tblCellMar>
        <w:top w:w="0" w:type="dxa"/>
        <w:left w:w="0" w:type="dxa"/>
        <w:bottom w:w="0" w:type="dxa"/>
        <w:right w:w="0" w:type="dxa"/>
      </w:tblCellMar>
    </w:tblPr>
  </w:style>
  <w:style w:type="paragraph" w:styleId="Nagwek">
    <w:name w:val="header"/>
    <w:basedOn w:val="Normalny"/>
    <w:link w:val="NagwekZnak"/>
    <w:uiPriority w:val="99"/>
    <w:rsid w:val="006E329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5B6EBB"/>
    <w:rPr>
      <w:rFonts w:ascii="Calibri" w:hAnsi="Calibri" w:cs="Calibri"/>
      <w:color w:val="000000"/>
      <w:u w:color="000000"/>
    </w:rPr>
  </w:style>
  <w:style w:type="paragraph" w:styleId="Stopka">
    <w:name w:val="footer"/>
    <w:basedOn w:val="Normalny"/>
    <w:link w:val="StopkaZnak"/>
    <w:uiPriority w:val="99"/>
    <w:rsid w:val="006E329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locked/>
    <w:rsid w:val="005B6EBB"/>
    <w:rPr>
      <w:rFonts w:ascii="Calibri" w:hAnsi="Calibri" w:cs="Calibri"/>
      <w:color w:val="000000"/>
      <w:u w:color="000000"/>
    </w:rPr>
  </w:style>
  <w:style w:type="paragraph" w:styleId="Tekstprzypisudolnego">
    <w:name w:val="footnote text"/>
    <w:basedOn w:val="Normalny"/>
    <w:link w:val="TekstprzypisudolnegoZnak"/>
    <w:uiPriority w:val="99"/>
    <w:semiHidden/>
    <w:rsid w:val="006E329D"/>
    <w:rPr>
      <w:sz w:val="20"/>
      <w:szCs w:val="20"/>
    </w:rPr>
  </w:style>
  <w:style w:type="character" w:customStyle="1" w:styleId="TekstprzypisudolnegoZnak">
    <w:name w:val="Tekst przypisu dolnego Znak"/>
    <w:basedOn w:val="Domylnaczcionkaakapitu"/>
    <w:link w:val="Tekstprzypisudolnego"/>
    <w:uiPriority w:val="99"/>
    <w:semiHidden/>
    <w:locked/>
    <w:rsid w:val="005B6EBB"/>
    <w:rPr>
      <w:rFonts w:ascii="Calibri" w:hAnsi="Calibri" w:cs="Calibri"/>
      <w:color w:val="000000"/>
      <w:sz w:val="20"/>
      <w:szCs w:val="20"/>
      <w:u w:color="000000"/>
    </w:rPr>
  </w:style>
  <w:style w:type="paragraph" w:customStyle="1" w:styleId="Domylna">
    <w:name w:val="Domyślna"/>
    <w:uiPriority w:val="99"/>
    <w:rsid w:val="006E329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rPr>
  </w:style>
  <w:style w:type="paragraph" w:styleId="Tekstkomentarza">
    <w:name w:val="annotation text"/>
    <w:basedOn w:val="Normalny"/>
    <w:link w:val="TekstkomentarzaZnak"/>
    <w:uiPriority w:val="99"/>
    <w:semiHidden/>
    <w:rsid w:val="006E329D"/>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6E329D"/>
    <w:rPr>
      <w:rFonts w:ascii="Calibri" w:hAnsi="Calibri" w:cs="Calibri"/>
      <w:color w:val="000000"/>
      <w:u w:color="000000"/>
    </w:rPr>
  </w:style>
  <w:style w:type="character" w:styleId="Odwoaniedokomentarza">
    <w:name w:val="annotation reference"/>
    <w:basedOn w:val="Domylnaczcionkaakapitu"/>
    <w:uiPriority w:val="99"/>
    <w:semiHidden/>
    <w:rsid w:val="006E329D"/>
    <w:rPr>
      <w:rFonts w:cs="Times New Roman"/>
      <w:sz w:val="16"/>
      <w:szCs w:val="16"/>
    </w:rPr>
  </w:style>
  <w:style w:type="paragraph" w:styleId="Tekstdymka">
    <w:name w:val="Balloon Text"/>
    <w:basedOn w:val="Normalny"/>
    <w:link w:val="TekstdymkaZnak"/>
    <w:uiPriority w:val="99"/>
    <w:semiHidden/>
    <w:rsid w:val="00422A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22AC5"/>
    <w:rPr>
      <w:rFonts w:ascii="Tahoma" w:hAnsi="Tahoma" w:cs="Tahoma"/>
      <w:color w:val="000000"/>
      <w:sz w:val="16"/>
      <w:szCs w:val="16"/>
      <w:u w:color="000000"/>
    </w:rPr>
  </w:style>
  <w:style w:type="paragraph" w:styleId="Tematkomentarza">
    <w:name w:val="annotation subject"/>
    <w:basedOn w:val="Tekstkomentarza"/>
    <w:next w:val="Tekstkomentarza"/>
    <w:link w:val="TematkomentarzaZnak"/>
    <w:uiPriority w:val="99"/>
    <w:semiHidden/>
    <w:rsid w:val="00825606"/>
    <w:rPr>
      <w:b/>
      <w:bCs/>
    </w:rPr>
  </w:style>
  <w:style w:type="character" w:customStyle="1" w:styleId="TematkomentarzaZnak">
    <w:name w:val="Temat komentarza Znak"/>
    <w:basedOn w:val="TekstkomentarzaZnak"/>
    <w:link w:val="Tematkomentarza"/>
    <w:uiPriority w:val="99"/>
    <w:semiHidden/>
    <w:locked/>
    <w:rsid w:val="00825606"/>
    <w:rPr>
      <w:rFonts w:ascii="Calibri" w:hAnsi="Calibri" w:cs="Calibri"/>
      <w:b/>
      <w:bCs/>
      <w:color w:val="000000"/>
      <w:u w:color="000000"/>
    </w:rPr>
  </w:style>
  <w:style w:type="paragraph" w:styleId="NormalnyWeb">
    <w:name w:val="Normal (Web)"/>
    <w:basedOn w:val="Normalny"/>
    <w:uiPriority w:val="99"/>
    <w:rsid w:val="00987FE2"/>
    <w:p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pPr>
    <w:rPr>
      <w:rFonts w:ascii="Times New Roman" w:eastAsia="MS Mincho" w:hAnsi="Times New Roman" w:cs="Times New Roman"/>
      <w:color w:val="auto"/>
      <w:sz w:val="24"/>
      <w:szCs w:val="24"/>
      <w:lang w:eastAsia="ja-JP"/>
    </w:rPr>
  </w:style>
  <w:style w:type="character" w:styleId="Pogrubienie">
    <w:name w:val="Strong"/>
    <w:basedOn w:val="Domylnaczcionkaakapitu"/>
    <w:uiPriority w:val="99"/>
    <w:qFormat/>
    <w:rsid w:val="00987FE2"/>
    <w:rPr>
      <w:rFonts w:cs="Times New Roman"/>
      <w:b/>
      <w:bCs/>
    </w:rPr>
  </w:style>
  <w:style w:type="character" w:customStyle="1" w:styleId="apple-converted-space">
    <w:name w:val="apple-converted-space"/>
    <w:basedOn w:val="Domylnaczcionkaakapitu"/>
    <w:uiPriority w:val="99"/>
    <w:rsid w:val="00987FE2"/>
    <w:rPr>
      <w:rFonts w:cs="Times New Roman"/>
    </w:rPr>
  </w:style>
  <w:style w:type="character" w:styleId="UyteHipercze">
    <w:name w:val="FollowedHyperlink"/>
    <w:basedOn w:val="Domylnaczcionkaakapitu"/>
    <w:uiPriority w:val="99"/>
    <w:rsid w:val="006F558B"/>
    <w:rPr>
      <w:rFonts w:cs="Times New Roman"/>
      <w:color w:val="800080"/>
      <w:u w:val="single"/>
    </w:rPr>
  </w:style>
  <w:style w:type="character" w:styleId="Odwoanieprzypisudolnego">
    <w:name w:val="footnote reference"/>
    <w:basedOn w:val="Domylnaczcionkaakapitu"/>
    <w:uiPriority w:val="99"/>
    <w:semiHidden/>
    <w:rsid w:val="006E2B30"/>
    <w:rPr>
      <w:rFonts w:cs="Times New Roman"/>
      <w:vertAlign w:val="superscript"/>
    </w:rPr>
  </w:style>
  <w:style w:type="paragraph" w:styleId="Tekstprzypisukocowego">
    <w:name w:val="endnote text"/>
    <w:basedOn w:val="Normalny"/>
    <w:link w:val="TekstprzypisukocowegoZnak"/>
    <w:uiPriority w:val="99"/>
    <w:semiHidden/>
    <w:rsid w:val="00AE1F6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AE1F6E"/>
    <w:rPr>
      <w:rFonts w:ascii="Calibri" w:hAnsi="Calibri" w:cs="Calibri"/>
      <w:color w:val="000000"/>
      <w:sz w:val="20"/>
      <w:szCs w:val="20"/>
      <w:u w:color="000000"/>
      <w:lang w:val="pl-PL" w:eastAsia="pl-PL"/>
    </w:rPr>
  </w:style>
  <w:style w:type="character" w:styleId="Odwoanieprzypisukocowego">
    <w:name w:val="endnote reference"/>
    <w:basedOn w:val="Domylnaczcionkaakapitu"/>
    <w:uiPriority w:val="99"/>
    <w:semiHidden/>
    <w:rsid w:val="00AE1F6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377338">
      <w:marLeft w:val="0"/>
      <w:marRight w:val="0"/>
      <w:marTop w:val="0"/>
      <w:marBottom w:val="0"/>
      <w:divBdr>
        <w:top w:val="none" w:sz="0" w:space="0" w:color="auto"/>
        <w:left w:val="none" w:sz="0" w:space="0" w:color="auto"/>
        <w:bottom w:val="none" w:sz="0" w:space="0" w:color="auto"/>
        <w:right w:val="none" w:sz="0" w:space="0" w:color="auto"/>
      </w:divBdr>
    </w:div>
    <w:div w:id="9753773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3522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Szanowna Pani,</vt:lpstr>
    </vt:vector>
  </TitlesOfParts>
  <Company>Microsoft</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Szanowna Pani,</dc:title>
  <dc:creator>Monika Szymanska</dc:creator>
  <cp:lastModifiedBy>Aleksandra Sołtysiak</cp:lastModifiedBy>
  <cp:revision>2</cp:revision>
  <cp:lastPrinted>2016-04-29T07:25:00Z</cp:lastPrinted>
  <dcterms:created xsi:type="dcterms:W3CDTF">2016-08-03T11:57:00Z</dcterms:created>
  <dcterms:modified xsi:type="dcterms:W3CDTF">2016-08-03T11:57:00Z</dcterms:modified>
</cp:coreProperties>
</file>