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EE086" w14:textId="77777777" w:rsidR="006C33A9" w:rsidRDefault="006C33A9" w:rsidP="00E65C1A">
      <w:pPr>
        <w:jc w:val="center"/>
        <w:rPr>
          <w:rFonts w:ascii="Verdana" w:hAnsi="Verdana"/>
          <w:b/>
          <w:bCs/>
        </w:rPr>
      </w:pPr>
    </w:p>
    <w:p w14:paraId="17EC6FA4" w14:textId="79BC2C5D" w:rsidR="00E65C1A" w:rsidRPr="00885118" w:rsidRDefault="00E65C1A" w:rsidP="00E65C1A">
      <w:pPr>
        <w:jc w:val="center"/>
        <w:rPr>
          <w:rFonts w:ascii="Verdana" w:eastAsia="Verdana" w:hAnsi="Verdana" w:cs="Verdana"/>
          <w:b/>
          <w:bCs/>
        </w:rPr>
      </w:pPr>
      <w:r w:rsidRPr="00885118">
        <w:rPr>
          <w:rFonts w:ascii="Verdana" w:hAnsi="Verdana"/>
          <w:b/>
          <w:bCs/>
        </w:rPr>
        <w:t>Miesiączka lub jej brak a infekcje intymne</w:t>
      </w:r>
    </w:p>
    <w:p w14:paraId="6483AD4F" w14:textId="77777777" w:rsidR="00E65C1A" w:rsidRPr="00885118" w:rsidRDefault="00E65C1A" w:rsidP="00E65C1A">
      <w:pPr>
        <w:jc w:val="both"/>
        <w:rPr>
          <w:rFonts w:ascii="Verdana" w:eastAsia="Verdana" w:hAnsi="Verdana" w:cs="Verdana"/>
          <w:b/>
          <w:bCs/>
        </w:rPr>
      </w:pPr>
      <w:r w:rsidRPr="00885118">
        <w:rPr>
          <w:rFonts w:ascii="Verdana" w:hAnsi="Verdana"/>
          <w:b/>
          <w:bCs/>
        </w:rPr>
        <w:t>Krwawienie miesiączkowe jest elementem prawidłowej fizjologii kobiety. Zwykle tych kilka trudniejszych dni nie powoduje niekorzystnych zmian w organizmie. Czasami jednak dodatkowe obciążenie w postaci zaburzenia snu, odżywiania czy niedostatecznej lub nadmiernej higieny może przyczynić się do rozwoju infekcji grzybiczej pochwy.</w:t>
      </w:r>
    </w:p>
    <w:p w14:paraId="2A9C9B86" w14:textId="29FDAC33" w:rsidR="00E65C1A" w:rsidRDefault="00E65C1A" w:rsidP="00E65C1A">
      <w:pPr>
        <w:jc w:val="both"/>
        <w:rPr>
          <w:rFonts w:ascii="Verdana" w:hAnsi="Verdana"/>
        </w:rPr>
      </w:pPr>
      <w:r w:rsidRPr="00885118">
        <w:rPr>
          <w:rFonts w:ascii="Verdana" w:hAnsi="Verdana"/>
        </w:rPr>
        <w:t xml:space="preserve">Grzybicze infekcje intymne są powszechnym kobiecym schorzeniem. Problem ten dotyka ponad połowy Polek*. Niektóre kobiety obserwują zależność między wystąpieniem infekcji intymnej a krwawieniem miesiączkowym. Dlaczego tak się dzieje? W trakcie miesiączki w organizmie kobiety spada poziom estrogenu. Głównym zadaniem tego hormonu jest regulowanie cyklu miesięcznego jednak oprócz tego, jest on wsparciem organizmu w walce ze stanem zapalnym. Dodatkowym czynnikiem ryzyka jest krew miesiączkowa, która stanowi dobrą pożywkę do rozwoju innych drobnoustrojów. </w:t>
      </w:r>
    </w:p>
    <w:p w14:paraId="03C3EC49" w14:textId="77777777" w:rsidR="006C33A9" w:rsidRDefault="006C33A9" w:rsidP="00E65C1A">
      <w:pPr>
        <w:jc w:val="both"/>
        <w:rPr>
          <w:rFonts w:ascii="Verdana" w:hAnsi="Verdana"/>
        </w:rPr>
      </w:pPr>
    </w:p>
    <w:p w14:paraId="550725C4" w14:textId="77777777" w:rsidR="00E65C1A" w:rsidRPr="00C13D6C" w:rsidRDefault="00E65C1A" w:rsidP="00E65C1A">
      <w:pPr>
        <w:jc w:val="center"/>
        <w:rPr>
          <w:rFonts w:ascii="Verdana" w:eastAsia="Verdana" w:hAnsi="Verdana" w:cs="Verdana"/>
          <w:b/>
        </w:rPr>
      </w:pPr>
      <w:r w:rsidRPr="00C13D6C">
        <w:rPr>
          <w:rFonts w:ascii="Verdana" w:eastAsia="Verdana" w:hAnsi="Verdana" w:cs="Verdana"/>
          <w:b/>
        </w:rPr>
        <w:t>Szybka ulga w dolegliwościach</w:t>
      </w:r>
    </w:p>
    <w:p w14:paraId="0E40B1FD" w14:textId="6AD822F9" w:rsidR="00E65C1A" w:rsidRPr="00041AF7" w:rsidRDefault="00E65C1A" w:rsidP="00E65C1A">
      <w:pPr>
        <w:jc w:val="both"/>
        <w:rPr>
          <w:rFonts w:ascii="Verdana" w:eastAsia="Verdana" w:hAnsi="Verdana" w:cs="Verdana"/>
        </w:rPr>
      </w:pPr>
      <w:r w:rsidRPr="00885118">
        <w:rPr>
          <w:rFonts w:ascii="Verdana" w:hAnsi="Verdana"/>
          <w:i/>
          <w:iCs/>
        </w:rPr>
        <w:t>W okresie krwawienia miesiączkowego kobieta powinna szczególnie zadbać o higienę. Kiedy jednak dojdzie do stanu zapalnego, powinna zareagować jak najszybciej i jak najskuteczniej. Wybór odpowiedniego rodzaju medykamentu pozwala rozwiązać ten problem. Według badań, największym zaufaniem kobiet cieszą się preparaty działające szybko, najlepiej już po pierwszej dobie o</w:t>
      </w:r>
      <w:r w:rsidRPr="00041AF7">
        <w:rPr>
          <w:rFonts w:ascii="Verdana" w:hAnsi="Verdana"/>
          <w:i/>
          <w:iCs/>
        </w:rPr>
        <w:t xml:space="preserve">d zastosowania i takie, które są uznawana za bezpieczne*. Na rynku jest dostępny np. produkt zawierający azotan </w:t>
      </w:r>
      <w:proofErr w:type="spellStart"/>
      <w:r w:rsidRPr="00041AF7">
        <w:rPr>
          <w:rFonts w:ascii="Verdana" w:hAnsi="Verdana"/>
          <w:i/>
          <w:iCs/>
        </w:rPr>
        <w:t>butokonazolu</w:t>
      </w:r>
      <w:proofErr w:type="spellEnd"/>
      <w:r w:rsidRPr="00041AF7">
        <w:rPr>
          <w:rFonts w:ascii="Verdana" w:hAnsi="Verdana"/>
          <w:i/>
          <w:iCs/>
        </w:rPr>
        <w:t>, który eliminuje dolegliwe objawy już w pierwszej dobie. Pamiętajmy też, że w przypadku leczenia infekcji grzybiczych, ważne jest stosowanie leków, które działają w sposób przedłużony, ze względu na specyfikę tego rodzaju infekcji. Zbyt krótko działające leki nie pozwalają na całkowite wyeliminowanie problemu</w:t>
      </w:r>
      <w:r w:rsidRPr="00041AF7">
        <w:rPr>
          <w:rFonts w:ascii="Verdana" w:hAnsi="Verdana"/>
        </w:rPr>
        <w:t xml:space="preserve"> – wyjaśnia dr n. med. Grzegorz </w:t>
      </w:r>
      <w:proofErr w:type="spellStart"/>
      <w:r w:rsidRPr="00041AF7">
        <w:rPr>
          <w:rFonts w:ascii="Verdana" w:hAnsi="Verdana"/>
        </w:rPr>
        <w:t>Południewski</w:t>
      </w:r>
      <w:proofErr w:type="spellEnd"/>
      <w:r w:rsidRPr="00041AF7">
        <w:rPr>
          <w:rFonts w:ascii="Verdana" w:hAnsi="Verdana"/>
        </w:rPr>
        <w:t>, ekspert portalu „Zdrowa ONA”.</w:t>
      </w:r>
    </w:p>
    <w:p w14:paraId="62F8EBF5" w14:textId="77777777" w:rsidR="00E65C1A" w:rsidRDefault="00E65C1A" w:rsidP="00E65C1A">
      <w:pPr>
        <w:jc w:val="center"/>
        <w:rPr>
          <w:rFonts w:ascii="Verdana" w:eastAsia="Verdana" w:hAnsi="Verdana" w:cs="Verdana"/>
          <w:b/>
        </w:rPr>
      </w:pPr>
    </w:p>
    <w:p w14:paraId="028106ED" w14:textId="77777777" w:rsidR="00E65C1A" w:rsidRPr="00C13D6C" w:rsidRDefault="00E65C1A" w:rsidP="00E65C1A">
      <w:pPr>
        <w:jc w:val="center"/>
        <w:rPr>
          <w:rFonts w:ascii="Verdana" w:eastAsia="Verdana" w:hAnsi="Verdana" w:cs="Verdana"/>
          <w:b/>
        </w:rPr>
      </w:pPr>
      <w:r w:rsidRPr="00C13D6C">
        <w:rPr>
          <w:rFonts w:ascii="Verdana" w:eastAsia="Verdana" w:hAnsi="Verdana" w:cs="Verdana"/>
          <w:b/>
        </w:rPr>
        <w:t>Sposób aplikacji w tych dniach</w:t>
      </w:r>
    </w:p>
    <w:p w14:paraId="40C97B51" w14:textId="77777777" w:rsidR="006C33A9" w:rsidRDefault="00E65C1A" w:rsidP="00E65C1A">
      <w:pPr>
        <w:spacing w:after="0"/>
        <w:jc w:val="both"/>
        <w:rPr>
          <w:rFonts w:ascii="Verdana" w:hAnsi="Verdana"/>
        </w:rPr>
      </w:pPr>
      <w:r w:rsidRPr="00041AF7">
        <w:rPr>
          <w:rFonts w:ascii="Verdana" w:hAnsi="Verdana"/>
        </w:rPr>
        <w:t xml:space="preserve">W przypadku pojawienia się intymnych infekcji grzybiczych odpowiednim rozwiązaniem jest stosowanie farmaceutyków działających miejscowo. Dzięki temu unikamy niepotrzebnego wpływu leku na cały organizm. Dodatkowo preparaty, które uwalniają lek w sposób ciągły w danym miejscu zapewniają nieustanną walkę z niepożądanym drobnoustrojem. Jak? - tłumaczy dr n. med. </w:t>
      </w:r>
    </w:p>
    <w:p w14:paraId="15261B98" w14:textId="00C29D40" w:rsidR="00E65C1A" w:rsidRPr="00041AF7" w:rsidRDefault="00E65C1A" w:rsidP="00E65C1A">
      <w:pPr>
        <w:spacing w:after="0"/>
        <w:jc w:val="both"/>
        <w:rPr>
          <w:rFonts w:ascii="Verdana" w:eastAsia="Verdana" w:hAnsi="Verdana" w:cs="Verdana"/>
          <w:i/>
          <w:iCs/>
        </w:rPr>
      </w:pPr>
      <w:r w:rsidRPr="00041AF7">
        <w:rPr>
          <w:rFonts w:ascii="Verdana" w:hAnsi="Verdana"/>
        </w:rPr>
        <w:lastRenderedPageBreak/>
        <w:t xml:space="preserve">Grzegorz </w:t>
      </w:r>
      <w:proofErr w:type="spellStart"/>
      <w:r w:rsidRPr="00041AF7">
        <w:rPr>
          <w:rFonts w:ascii="Verdana" w:hAnsi="Verdana"/>
        </w:rPr>
        <w:t>Południewski</w:t>
      </w:r>
      <w:proofErr w:type="spellEnd"/>
      <w:r>
        <w:rPr>
          <w:rFonts w:ascii="Verdana" w:hAnsi="Verdana"/>
        </w:rPr>
        <w:t xml:space="preserve"> - p</w:t>
      </w:r>
      <w:r w:rsidRPr="00041AF7">
        <w:rPr>
          <w:rFonts w:ascii="Verdana" w:hAnsi="Verdana"/>
          <w:i/>
          <w:iCs/>
        </w:rPr>
        <w:t>odstawą pozbycia się grzybicy pochwy jest</w:t>
      </w:r>
      <w:r>
        <w:rPr>
          <w:rFonts w:ascii="Verdana" w:hAnsi="Verdana"/>
          <w:i/>
          <w:iCs/>
        </w:rPr>
        <w:t xml:space="preserve"> </w:t>
      </w:r>
      <w:r w:rsidRPr="00041AF7">
        <w:rPr>
          <w:rFonts w:ascii="Verdana" w:hAnsi="Verdana"/>
          <w:i/>
          <w:iCs/>
        </w:rPr>
        <w:t>farmakoterapia. Próba samodzielnego wyleczenia się może doprowadzić do jeszcze silniejszego namnażania się grzybów. Na rynku istnieje szeroki wybór preparatów do leczenia infekcji grzybiczych, jednak niektóre z nich, poprzez sposób aplikacji, znacznie ułatwiają terapię. Jednym ze sposobów efektywnego dostarczenia leku do pochwy jest stosowanie kremu charakteryzującego się wysokimi właściwościami adhezyjnymi. Po jednorazowej aplikacji preparatu do pochwy krem utrzymuje się na powierzchni błony śluzowej pochwy przez kilka dni i nie wypływa. Dostarczanie leku w ten sposób jest bardzo efektywne i przede wszystkim związane z jego długotrwałym, przedłużonym działaniem.</w:t>
      </w:r>
    </w:p>
    <w:p w14:paraId="71FD5229" w14:textId="77777777" w:rsidR="00E65C1A" w:rsidRPr="00041AF7" w:rsidRDefault="00E65C1A" w:rsidP="00E65C1A">
      <w:pPr>
        <w:spacing w:after="0"/>
        <w:rPr>
          <w:rFonts w:ascii="Verdana" w:eastAsia="Verdana" w:hAnsi="Verdana" w:cs="Verdana"/>
          <w:i/>
          <w:iCs/>
        </w:rPr>
      </w:pPr>
    </w:p>
    <w:p w14:paraId="77FE9159" w14:textId="77777777" w:rsidR="00E65C1A" w:rsidRPr="00041AF7" w:rsidRDefault="00E65C1A" w:rsidP="00E65C1A">
      <w:pPr>
        <w:jc w:val="both"/>
        <w:rPr>
          <w:rFonts w:ascii="Verdana" w:eastAsia="Verdana" w:hAnsi="Verdana" w:cs="Verdana"/>
        </w:rPr>
      </w:pPr>
      <w:r w:rsidRPr="00041AF7">
        <w:rPr>
          <w:rFonts w:ascii="Verdana" w:hAnsi="Verdana"/>
        </w:rPr>
        <w:t xml:space="preserve">Problem infekcji intymnych jest szeroki, lecz nie jest problemem nie do rozwiązania. Podstawą działania powinna być świadomość kobiet w zakresie tego tematu i chęć podjęcia pewnych i skutecznych rozwiązań. </w:t>
      </w:r>
    </w:p>
    <w:p w14:paraId="7C1B02DB" w14:textId="77777777" w:rsidR="00E65C1A" w:rsidRPr="00C90939" w:rsidRDefault="00E65C1A" w:rsidP="00E65C1A">
      <w:pPr>
        <w:jc w:val="both"/>
        <w:rPr>
          <w:rFonts w:ascii="Verdana" w:eastAsia="Verdana" w:hAnsi="Verdana" w:cs="Verdana"/>
          <w:sz w:val="20"/>
          <w:szCs w:val="20"/>
        </w:rPr>
      </w:pPr>
    </w:p>
    <w:p w14:paraId="334991C2" w14:textId="77777777" w:rsidR="00E65C1A" w:rsidRPr="0078648C" w:rsidRDefault="00E65C1A" w:rsidP="00E65C1A">
      <w:pPr>
        <w:jc w:val="both"/>
      </w:pPr>
      <w:bookmarkStart w:id="0" w:name="_GoBack"/>
      <w:r w:rsidRPr="0078648C">
        <w:t xml:space="preserve">*Ogólnopolskie badanie pt. „Zakażenia bakteryjne i grzybicze pochwy – pozbądź się ich raz na zawsze” zrealizowane w ramach programu „Zdrowa ONA” zainicjowanego przez Gedeon Richter, przeprowadzone w dniach 22.05-24.05.2018 roku metodą internetowych zestandaryzowanych wywiadów kwestionariuszowych (CAWI) przez agencję SW </w:t>
      </w:r>
      <w:proofErr w:type="spellStart"/>
      <w:r w:rsidRPr="0078648C">
        <w:t>Research</w:t>
      </w:r>
      <w:proofErr w:type="spellEnd"/>
      <w:r w:rsidRPr="0078648C">
        <w:t>. Badaniem objęto łącznie 1067 kobiet w wieku powyżej 18. roku życia.</w:t>
      </w:r>
    </w:p>
    <w:bookmarkEnd w:id="0"/>
    <w:p w14:paraId="26660376" w14:textId="77777777" w:rsidR="00857F09" w:rsidRPr="00B23172" w:rsidRDefault="00857F09">
      <w:pPr>
        <w:jc w:val="both"/>
      </w:pPr>
    </w:p>
    <w:sectPr w:rsidR="00857F09" w:rsidRPr="00B23172">
      <w:headerReference w:type="default" r:id="rId6"/>
      <w:footerReference w:type="default" r:id="rId7"/>
      <w:pgSz w:w="11900" w:h="16840"/>
      <w:pgMar w:top="1985" w:right="1417" w:bottom="1417" w:left="1417" w:header="0" w:footer="5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31891" w14:textId="77777777" w:rsidR="00FB0401" w:rsidRDefault="00FB0401">
      <w:pPr>
        <w:spacing w:after="0" w:line="240" w:lineRule="auto"/>
      </w:pPr>
      <w:r>
        <w:separator/>
      </w:r>
    </w:p>
  </w:endnote>
  <w:endnote w:type="continuationSeparator" w:id="0">
    <w:p w14:paraId="677022E3" w14:textId="77777777" w:rsidR="00FB0401" w:rsidRDefault="00FB0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Helvetica Neue">
    <w:altName w:val="Arial"/>
    <w:charset w:val="00"/>
    <w:family w:val="roman"/>
    <w:pitch w:val="default"/>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62912" w14:textId="77777777" w:rsidR="00857F09" w:rsidRDefault="00857F09">
    <w:pPr>
      <w:pStyle w:val="Nagwekistopk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A4FD4" w14:textId="77777777" w:rsidR="00FB0401" w:rsidRDefault="00FB0401">
      <w:pPr>
        <w:spacing w:after="0" w:line="240" w:lineRule="auto"/>
      </w:pPr>
      <w:r>
        <w:separator/>
      </w:r>
    </w:p>
  </w:footnote>
  <w:footnote w:type="continuationSeparator" w:id="0">
    <w:p w14:paraId="267C7199" w14:textId="77777777" w:rsidR="00FB0401" w:rsidRDefault="00FB0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89477" w14:textId="77777777" w:rsidR="00857F09" w:rsidRDefault="00B23172">
    <w:pPr>
      <w:pStyle w:val="Nagwek"/>
      <w:tabs>
        <w:tab w:val="clear" w:pos="9072"/>
        <w:tab w:val="right" w:pos="9046"/>
      </w:tabs>
      <w:jc w:val="center"/>
    </w:pPr>
    <w:r>
      <w:rPr>
        <w:noProof/>
      </w:rPr>
      <mc:AlternateContent>
        <mc:Choice Requires="wps">
          <w:drawing>
            <wp:anchor distT="152400" distB="152400" distL="152400" distR="152400" simplePos="0" relativeHeight="251658240" behindDoc="1" locked="0" layoutInCell="1" allowOverlap="1" wp14:anchorId="36C097CF" wp14:editId="158CB3F9">
              <wp:simplePos x="0" y="0"/>
              <wp:positionH relativeFrom="page">
                <wp:posOffset>-9525</wp:posOffset>
              </wp:positionH>
              <wp:positionV relativeFrom="page">
                <wp:posOffset>-95250</wp:posOffset>
              </wp:positionV>
              <wp:extent cx="7591425" cy="1295400"/>
              <wp:effectExtent l="0" t="0" r="0" b="0"/>
              <wp:wrapNone/>
              <wp:docPr id="1073741825" name="officeArt object" descr="Rectangle 5"/>
              <wp:cNvGraphicFramePr/>
              <a:graphic xmlns:a="http://schemas.openxmlformats.org/drawingml/2006/main">
                <a:graphicData uri="http://schemas.microsoft.com/office/word/2010/wordprocessingShape">
                  <wps:wsp>
                    <wps:cNvSpPr/>
                    <wps:spPr>
                      <a:xfrm>
                        <a:off x="0" y="0"/>
                        <a:ext cx="7591425" cy="1295400"/>
                      </a:xfrm>
                      <a:prstGeom prst="rect">
                        <a:avLst/>
                      </a:prstGeom>
                      <a:solidFill>
                        <a:srgbClr val="C00000"/>
                      </a:solidFill>
                      <a:ln w="9525" cap="flat">
                        <a:solidFill>
                          <a:srgbClr val="C00000"/>
                        </a:solidFill>
                        <a:prstDash val="solid"/>
                        <a:miter lim="800000"/>
                      </a:ln>
                      <a:effectLst/>
                    </wps:spPr>
                    <wps:bodyPr/>
                  </wps:wsp>
                </a:graphicData>
              </a:graphic>
            </wp:anchor>
          </w:drawing>
        </mc:Choice>
        <mc:Fallback>
          <w:pict>
            <v:rect w14:anchorId="419BC61D" id="officeArt object" o:spid="_x0000_s1026" alt="Rectangle 5" style="position:absolute;margin-left:-.75pt;margin-top:-7.5pt;width:597.75pt;height:102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" fillcolor="#c00000" strokecolor="#c00000">
              <w10:wrap anchorx="page" anchory="page"/>
            </v:rect>
          </w:pict>
        </mc:Fallback>
      </mc:AlternateContent>
    </w:r>
    <w:r>
      <w:rPr>
        <w:noProof/>
      </w:rPr>
      <w:drawing>
        <wp:anchor distT="152400" distB="152400" distL="152400" distR="152400" simplePos="0" relativeHeight="251659264" behindDoc="1" locked="0" layoutInCell="1" allowOverlap="1" wp14:anchorId="51E10DC7" wp14:editId="41DA7F95">
          <wp:simplePos x="0" y="0"/>
          <wp:positionH relativeFrom="page">
            <wp:posOffset>228599</wp:posOffset>
          </wp:positionH>
          <wp:positionV relativeFrom="page">
            <wp:posOffset>104775</wp:posOffset>
          </wp:positionV>
          <wp:extent cx="2096136" cy="899795"/>
          <wp:effectExtent l="0" t="0" r="0" b="0"/>
          <wp:wrapNone/>
          <wp:docPr id="1073741826" name="officeArt object" descr="logo"/>
          <wp:cNvGraphicFramePr/>
          <a:graphic xmlns:a="http://schemas.openxmlformats.org/drawingml/2006/main">
            <a:graphicData uri="http://schemas.openxmlformats.org/drawingml/2006/picture">
              <pic:pic xmlns:pic="http://schemas.openxmlformats.org/drawingml/2006/picture">
                <pic:nvPicPr>
                  <pic:cNvPr id="1073741826" name="logo" descr="logo"/>
                  <pic:cNvPicPr>
                    <a:picLocks noChangeAspect="1"/>
                  </pic:cNvPicPr>
                </pic:nvPicPr>
                <pic:blipFill>
                  <a:blip r:embed="rId1">
                    <a:extLst/>
                  </a:blip>
                  <a:stretch>
                    <a:fillRect/>
                  </a:stretch>
                </pic:blipFill>
                <pic:spPr>
                  <a:xfrm>
                    <a:off x="0" y="0"/>
                    <a:ext cx="2096136" cy="89979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7F09"/>
    <w:rsid w:val="00151B9E"/>
    <w:rsid w:val="001534F5"/>
    <w:rsid w:val="004A6C01"/>
    <w:rsid w:val="004B4CEC"/>
    <w:rsid w:val="0051486E"/>
    <w:rsid w:val="00657374"/>
    <w:rsid w:val="006976B0"/>
    <w:rsid w:val="006A483D"/>
    <w:rsid w:val="006C33A9"/>
    <w:rsid w:val="0071722C"/>
    <w:rsid w:val="00776730"/>
    <w:rsid w:val="0078648C"/>
    <w:rsid w:val="00857F09"/>
    <w:rsid w:val="009101C5"/>
    <w:rsid w:val="00A74CCA"/>
    <w:rsid w:val="00B23172"/>
    <w:rsid w:val="00BC760B"/>
    <w:rsid w:val="00BF1B45"/>
    <w:rsid w:val="00D43DE2"/>
    <w:rsid w:val="00D462A8"/>
    <w:rsid w:val="00DF325C"/>
    <w:rsid w:val="00E567F2"/>
    <w:rsid w:val="00E65C1A"/>
    <w:rsid w:val="00F56F66"/>
    <w:rsid w:val="00FB0401"/>
    <w:rsid w:val="00FC63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11F8"/>
  <w15:docId w15:val="{AFBBADC9-EF02-4EE1-9871-98D8689E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pPr>
      <w:spacing w:after="200" w:line="276" w:lineRule="auto"/>
    </w:pPr>
    <w:rPr>
      <w:rFonts w:ascii="Calibri" w:eastAsia="Calibri" w:hAnsi="Calibri" w:cs="Calibri"/>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eastAsia="Calibri" w:hAnsi="Calibri" w:cs="Calibri"/>
      <w:color w:val="000000"/>
      <w:sz w:val="22"/>
      <w:szCs w:val="22"/>
      <w:u w:color="000000"/>
    </w:rPr>
  </w:style>
  <w:style w:type="paragraph" w:customStyle="1" w:styleId="Nagwekistopka">
    <w:name w:val="Nagłówek i stopka"/>
    <w:pPr>
      <w:tabs>
        <w:tab w:val="right" w:pos="9020"/>
      </w:tabs>
    </w:pPr>
    <w:rPr>
      <w:rFonts w:ascii="Helvetica Neue" w:hAnsi="Helvetica Neue" w:cs="Arial Unicode MS"/>
      <w:color w:val="000000"/>
      <w:sz w:val="24"/>
      <w:szCs w:val="24"/>
    </w:rPr>
  </w:style>
  <w:style w:type="paragraph" w:styleId="Tekstdymka">
    <w:name w:val="Balloon Text"/>
    <w:basedOn w:val="Normalny"/>
    <w:link w:val="TekstdymkaZnak"/>
    <w:uiPriority w:val="99"/>
    <w:semiHidden/>
    <w:unhideWhenUsed/>
    <w:rsid w:val="001534F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34F5"/>
    <w:rPr>
      <w:rFonts w:ascii="Segoe UI" w:eastAsia="Calibri" w:hAnsi="Segoe UI" w:cs="Segoe UI"/>
      <w:color w:val="000000"/>
      <w:sz w:val="18"/>
      <w:szCs w:val="18"/>
      <w:u w:color="000000"/>
    </w:rPr>
  </w:style>
  <w:style w:type="character" w:styleId="Odwoaniedokomentarza">
    <w:name w:val="annotation reference"/>
    <w:basedOn w:val="Domylnaczcionkaakapitu"/>
    <w:uiPriority w:val="99"/>
    <w:semiHidden/>
    <w:unhideWhenUsed/>
    <w:rsid w:val="006976B0"/>
    <w:rPr>
      <w:sz w:val="16"/>
      <w:szCs w:val="16"/>
    </w:rPr>
  </w:style>
  <w:style w:type="paragraph" w:styleId="Tekstkomentarza">
    <w:name w:val="annotation text"/>
    <w:basedOn w:val="Normalny"/>
    <w:link w:val="TekstkomentarzaZnak"/>
    <w:uiPriority w:val="99"/>
    <w:semiHidden/>
    <w:unhideWhenUsed/>
    <w:rsid w:val="006976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976B0"/>
    <w:rPr>
      <w:rFonts w:ascii="Calibri" w:eastAsia="Calibri" w:hAnsi="Calibri" w:cs="Calibri"/>
      <w:color w:val="000000"/>
      <w:u w:color="000000"/>
    </w:rPr>
  </w:style>
  <w:style w:type="paragraph" w:styleId="Tematkomentarza">
    <w:name w:val="annotation subject"/>
    <w:basedOn w:val="Tekstkomentarza"/>
    <w:next w:val="Tekstkomentarza"/>
    <w:link w:val="TematkomentarzaZnak"/>
    <w:uiPriority w:val="99"/>
    <w:semiHidden/>
    <w:unhideWhenUsed/>
    <w:rsid w:val="006976B0"/>
    <w:rPr>
      <w:b/>
      <w:bCs/>
    </w:rPr>
  </w:style>
  <w:style w:type="character" w:customStyle="1" w:styleId="TematkomentarzaZnak">
    <w:name w:val="Temat komentarza Znak"/>
    <w:basedOn w:val="TekstkomentarzaZnak"/>
    <w:link w:val="Tematkomentarza"/>
    <w:uiPriority w:val="99"/>
    <w:semiHidden/>
    <w:rsid w:val="006976B0"/>
    <w:rPr>
      <w:rFonts w:ascii="Calibri" w:eastAsia="Calibri" w:hAnsi="Calibri" w:cs="Calibri"/>
      <w:b/>
      <w:bCs/>
      <w:color w:val="000000"/>
      <w:u w:color="000000"/>
    </w:rPr>
  </w:style>
  <w:style w:type="paragraph" w:styleId="Tekstprzypisudolnego">
    <w:name w:val="footnote text"/>
    <w:link w:val="TekstprzypisudolnegoZnak"/>
    <w:uiPriority w:val="99"/>
    <w:rsid w:val="00D462A8"/>
    <w:pPr>
      <w:spacing w:after="200" w:line="276" w:lineRule="auto"/>
    </w:pPr>
    <w:rPr>
      <w:rFonts w:ascii="Calibri" w:eastAsia="Calibri" w:hAnsi="Calibri" w:cs="Calibri"/>
      <w:color w:val="000000"/>
      <w:u w:color="000000"/>
    </w:rPr>
  </w:style>
  <w:style w:type="character" w:customStyle="1" w:styleId="TekstprzypisudolnegoZnak">
    <w:name w:val="Tekst przypisu dolnego Znak"/>
    <w:basedOn w:val="Domylnaczcionkaakapitu"/>
    <w:link w:val="Tekstprzypisudolnego"/>
    <w:uiPriority w:val="99"/>
    <w:rsid w:val="00D462A8"/>
    <w:rPr>
      <w:rFonts w:ascii="Calibri" w:eastAsia="Calibri" w:hAnsi="Calibri" w:cs="Calibri"/>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3072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Adrianna Tomasik</dc:creator>
  <cp:lastModifiedBy>Magdalena Królak</cp:lastModifiedBy>
  <cp:revision>5</cp:revision>
  <dcterms:created xsi:type="dcterms:W3CDTF">2018-06-12T09:28:00Z</dcterms:created>
  <dcterms:modified xsi:type="dcterms:W3CDTF">2018-06-12T10:22:00Z</dcterms:modified>
</cp:coreProperties>
</file>