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0017" w:rsidRDefault="00F00017" w:rsidP="00B760BD">
      <w:pPr>
        <w:pBdr>
          <w:top w:val="none" w:sz="0" w:space="0" w:color="auto"/>
          <w:left w:val="none" w:sz="0" w:space="0" w:color="auto"/>
          <w:bottom w:val="none" w:sz="0" w:space="0" w:color="auto"/>
          <w:right w:val="none" w:sz="0" w:space="0" w:color="auto"/>
          <w:bar w:val="none" w:sz="0" w:color="auto"/>
        </w:pBdr>
        <w:jc w:val="center"/>
        <w:rPr>
          <w:rFonts w:ascii="Tahoma" w:hAnsi="Tahoma" w:cs="Tahoma"/>
        </w:rPr>
      </w:pPr>
    </w:p>
    <w:p w:rsidR="00F00017" w:rsidRDefault="00F00017" w:rsidP="00225490">
      <w:pPr>
        <w:pBdr>
          <w:top w:val="none" w:sz="0" w:space="0" w:color="auto"/>
          <w:left w:val="none" w:sz="0" w:space="0" w:color="auto"/>
          <w:bottom w:val="none" w:sz="0" w:space="0" w:color="auto"/>
          <w:right w:val="none" w:sz="0" w:space="0" w:color="auto"/>
          <w:bar w:val="none" w:sz="0" w:color="auto"/>
        </w:pBdr>
        <w:jc w:val="center"/>
        <w:rPr>
          <w:rFonts w:cs="Tahoma"/>
          <w:b/>
          <w:sz w:val="24"/>
          <w:szCs w:val="24"/>
        </w:rPr>
      </w:pPr>
      <w:r>
        <w:rPr>
          <w:rFonts w:cs="Tahoma"/>
          <w:b/>
          <w:sz w:val="24"/>
          <w:szCs w:val="24"/>
        </w:rPr>
        <w:t>Fakty i mity na temat hormonalnej terapii menopauzalnej</w:t>
      </w:r>
    </w:p>
    <w:p w:rsidR="00F00017" w:rsidRDefault="00F00017" w:rsidP="00225490">
      <w:pPr>
        <w:pBdr>
          <w:top w:val="none" w:sz="0" w:space="0" w:color="auto"/>
          <w:left w:val="none" w:sz="0" w:space="0" w:color="auto"/>
          <w:bottom w:val="none" w:sz="0" w:space="0" w:color="auto"/>
          <w:right w:val="none" w:sz="0" w:space="0" w:color="auto"/>
          <w:bar w:val="none" w:sz="0" w:color="auto"/>
        </w:pBdr>
        <w:jc w:val="both"/>
        <w:rPr>
          <w:rFonts w:cs="Tahoma"/>
          <w:b/>
        </w:rPr>
      </w:pPr>
      <w:r>
        <w:rPr>
          <w:rFonts w:cs="Tahoma"/>
          <w:b/>
        </w:rPr>
        <w:t xml:space="preserve">Mimo, </w:t>
      </w:r>
      <w:r w:rsidRPr="00225490">
        <w:rPr>
          <w:rFonts w:cs="Tahoma"/>
          <w:b/>
        </w:rPr>
        <w:t>ż</w:t>
      </w:r>
      <w:r>
        <w:rPr>
          <w:rFonts w:cs="Tahoma"/>
          <w:b/>
        </w:rPr>
        <w:t>e</w:t>
      </w:r>
      <w:r w:rsidRPr="00225490">
        <w:rPr>
          <w:rFonts w:cs="Tahoma"/>
          <w:b/>
        </w:rPr>
        <w:t xml:space="preserve"> hormonalna terapia menopauzalna (HTM) stanowi jedną z głównych metod radzenia sobie</w:t>
      </w:r>
      <w:r>
        <w:rPr>
          <w:rFonts w:cs="Tahoma"/>
          <w:b/>
        </w:rPr>
        <w:t xml:space="preserve"> </w:t>
      </w:r>
      <w:r w:rsidRPr="00225490">
        <w:rPr>
          <w:rFonts w:cs="Tahoma"/>
          <w:b/>
        </w:rPr>
        <w:t xml:space="preserve">z uciążliwymi objawami </w:t>
      </w:r>
      <w:r>
        <w:rPr>
          <w:rFonts w:cs="Tahoma"/>
          <w:b/>
        </w:rPr>
        <w:t>przekwitania</w:t>
      </w:r>
      <w:r w:rsidRPr="00225490">
        <w:rPr>
          <w:rFonts w:cs="Tahoma"/>
          <w:b/>
        </w:rPr>
        <w:t xml:space="preserve">, </w:t>
      </w:r>
      <w:r>
        <w:rPr>
          <w:rFonts w:cs="Tahoma"/>
          <w:b/>
        </w:rPr>
        <w:t xml:space="preserve">w dalszym ciągu wiedza na jej temat jest niska. Jak wynika z badania przeprowadzonego w ramach programu „Zdrowa ONA”, </w:t>
      </w:r>
      <w:r w:rsidRPr="00225490">
        <w:rPr>
          <w:rFonts w:cs="Tahoma"/>
          <w:b/>
        </w:rPr>
        <w:t>pojęcie</w:t>
      </w:r>
      <w:r>
        <w:rPr>
          <w:rFonts w:cs="Tahoma"/>
          <w:b/>
        </w:rPr>
        <w:t xml:space="preserve"> hormonalnej terapii menopauzalnej nie jest </w:t>
      </w:r>
      <w:r w:rsidRPr="00225490">
        <w:rPr>
          <w:rFonts w:cs="Tahoma"/>
          <w:b/>
        </w:rPr>
        <w:t xml:space="preserve">znane blisko połowie Polek, a jedynie 30% uznaje </w:t>
      </w:r>
      <w:r>
        <w:rPr>
          <w:rFonts w:cs="Tahoma"/>
          <w:b/>
        </w:rPr>
        <w:t xml:space="preserve">ją </w:t>
      </w:r>
      <w:r w:rsidRPr="00225490">
        <w:rPr>
          <w:rFonts w:cs="Tahoma"/>
          <w:b/>
        </w:rPr>
        <w:t>za</w:t>
      </w:r>
      <w:r>
        <w:rPr>
          <w:rFonts w:cs="Tahoma"/>
          <w:b/>
        </w:rPr>
        <w:t xml:space="preserve"> metodę</w:t>
      </w:r>
      <w:r w:rsidRPr="00225490">
        <w:rPr>
          <w:rFonts w:cs="Tahoma"/>
          <w:b/>
        </w:rPr>
        <w:t xml:space="preserve"> wartą stosowania</w:t>
      </w:r>
      <w:r>
        <w:rPr>
          <w:rStyle w:val="Odwoanieprzypisudolnego"/>
          <w:b/>
        </w:rPr>
        <w:footnoteReference w:id="2"/>
      </w:r>
      <w:r>
        <w:rPr>
          <w:rFonts w:cs="Tahoma"/>
          <w:b/>
        </w:rPr>
        <w:t xml:space="preserve">. </w:t>
      </w:r>
      <w:r w:rsidRPr="00225490">
        <w:rPr>
          <w:rFonts w:cs="Tahoma"/>
          <w:b/>
        </w:rPr>
        <w:t xml:space="preserve">Dlatego razem z prof. dr n. med. Violettą </w:t>
      </w:r>
      <w:proofErr w:type="spellStart"/>
      <w:r w:rsidRPr="00225490">
        <w:rPr>
          <w:rFonts w:cs="Tahoma"/>
          <w:b/>
        </w:rPr>
        <w:t>Skrzypulec</w:t>
      </w:r>
      <w:proofErr w:type="spellEnd"/>
      <w:r w:rsidRPr="00225490">
        <w:rPr>
          <w:rFonts w:cs="Tahoma"/>
          <w:b/>
        </w:rPr>
        <w:t>-Plintą, ginekologiem</w:t>
      </w:r>
      <w:r>
        <w:rPr>
          <w:rFonts w:cs="Tahoma"/>
          <w:b/>
        </w:rPr>
        <w:br/>
      </w:r>
      <w:r w:rsidRPr="00225490">
        <w:rPr>
          <w:rFonts w:cs="Tahoma"/>
          <w:b/>
        </w:rPr>
        <w:t>i seksuologiem</w:t>
      </w:r>
      <w:r>
        <w:rPr>
          <w:rFonts w:cs="Tahoma"/>
          <w:b/>
        </w:rPr>
        <w:t>,</w:t>
      </w:r>
      <w:r w:rsidRPr="00225490">
        <w:rPr>
          <w:rFonts w:cs="Tahoma"/>
          <w:b/>
        </w:rPr>
        <w:t xml:space="preserve"> obalamy najczęstsze mity związane z </w:t>
      </w:r>
      <w:r>
        <w:rPr>
          <w:rFonts w:cs="Tahoma"/>
          <w:b/>
        </w:rPr>
        <w:t xml:space="preserve">HTM. </w:t>
      </w:r>
    </w:p>
    <w:p w:rsidR="00F00017" w:rsidRDefault="00F00017" w:rsidP="00DE6560">
      <w:pPr>
        <w:numPr>
          <w:ilvl w:val="0"/>
          <w:numId w:val="4"/>
        </w:numPr>
        <w:pBdr>
          <w:top w:val="none" w:sz="0" w:space="0" w:color="auto"/>
          <w:left w:val="none" w:sz="0" w:space="0" w:color="auto"/>
          <w:bottom w:val="none" w:sz="0" w:space="0" w:color="auto"/>
          <w:right w:val="none" w:sz="0" w:space="0" w:color="auto"/>
          <w:bar w:val="none" w:sz="0" w:color="auto"/>
        </w:pBdr>
        <w:jc w:val="both"/>
        <w:rPr>
          <w:rFonts w:cs="Tahoma"/>
          <w:b/>
        </w:rPr>
      </w:pPr>
      <w:r>
        <w:rPr>
          <w:rFonts w:cs="Tahoma"/>
          <w:b/>
        </w:rPr>
        <w:t xml:space="preserve">Hormonalną terapię menopauzalną należy rozpocząć jak najwcześniej </w:t>
      </w:r>
    </w:p>
    <w:p w:rsidR="00F00017" w:rsidRDefault="00F00017" w:rsidP="005C7C30">
      <w:pPr>
        <w:pBdr>
          <w:top w:val="none" w:sz="0" w:space="0" w:color="auto"/>
          <w:left w:val="none" w:sz="0" w:space="0" w:color="auto"/>
          <w:bottom w:val="none" w:sz="0" w:space="0" w:color="auto"/>
          <w:right w:val="none" w:sz="0" w:space="0" w:color="auto"/>
          <w:bar w:val="none" w:sz="0" w:color="auto"/>
        </w:pBdr>
        <w:jc w:val="both"/>
        <w:rPr>
          <w:rFonts w:cs="Tahoma"/>
        </w:rPr>
      </w:pPr>
      <w:r>
        <w:rPr>
          <w:rFonts w:cs="Tahoma"/>
          <w:b/>
        </w:rPr>
        <w:t xml:space="preserve">FAKT: </w:t>
      </w:r>
      <w:r>
        <w:rPr>
          <w:rFonts w:cs="Tahoma"/>
        </w:rPr>
        <w:t xml:space="preserve">Stosowanie HTM należy zacząć możliwie szybko po ujawnieniu się objawów wypadowych związanych z wystąpieniem ostatniej miesiączki bądź w sytuacji, gdy kobieta poddana była operacji usunięcia jajników, zaraz po przeprowadzonym zabiegu. Odpowiednio wczesne rozpoczęcie terapii powoduje, że pomimo wystąpienia menopauzy, poziom estrogenów utrzymywany jest na stałym poziomie. Wdrożenie terapii menopauzalnej dopiero po kilku latach, gdy poziom estrogenów jest już bardzo niski, </w:t>
      </w:r>
      <w:r w:rsidR="00AF4FF6">
        <w:rPr>
          <w:rFonts w:cs="Tahoma"/>
        </w:rPr>
        <w:t>jest niekorzystn</w:t>
      </w:r>
      <w:r w:rsidR="00B357DB">
        <w:rPr>
          <w:rFonts w:cs="Tahoma"/>
        </w:rPr>
        <w:t>e</w:t>
      </w:r>
      <w:r w:rsidR="00AF4FF6">
        <w:rPr>
          <w:rFonts w:cs="Tahoma"/>
        </w:rPr>
        <w:t xml:space="preserve"> i </w:t>
      </w:r>
      <w:r>
        <w:rPr>
          <w:rFonts w:cs="Tahoma"/>
        </w:rPr>
        <w:t xml:space="preserve">podnosi ryzyko wystąpienia działań niepożądanych.  </w:t>
      </w:r>
    </w:p>
    <w:p w:rsidR="00F00017" w:rsidRDefault="00F00017" w:rsidP="00DE6560">
      <w:pPr>
        <w:numPr>
          <w:ilvl w:val="0"/>
          <w:numId w:val="4"/>
        </w:numPr>
        <w:pBdr>
          <w:top w:val="none" w:sz="0" w:space="0" w:color="auto"/>
          <w:left w:val="none" w:sz="0" w:space="0" w:color="auto"/>
          <w:bottom w:val="none" w:sz="0" w:space="0" w:color="auto"/>
          <w:right w:val="none" w:sz="0" w:space="0" w:color="auto"/>
          <w:bar w:val="none" w:sz="0" w:color="auto"/>
        </w:pBdr>
        <w:jc w:val="both"/>
        <w:rPr>
          <w:rFonts w:cs="Tahoma"/>
          <w:b/>
        </w:rPr>
      </w:pPr>
      <w:r>
        <w:rPr>
          <w:rFonts w:cs="Tahoma"/>
          <w:b/>
        </w:rPr>
        <w:t>HTM może być przyjmowana jedynie w formie doustnej</w:t>
      </w:r>
    </w:p>
    <w:p w:rsidR="00F00017" w:rsidRDefault="00F00017" w:rsidP="00A75531">
      <w:pPr>
        <w:pBdr>
          <w:top w:val="none" w:sz="0" w:space="0" w:color="auto"/>
          <w:left w:val="none" w:sz="0" w:space="0" w:color="auto"/>
          <w:bottom w:val="none" w:sz="0" w:space="0" w:color="auto"/>
          <w:right w:val="none" w:sz="0" w:space="0" w:color="auto"/>
          <w:bar w:val="none" w:sz="0" w:color="auto"/>
        </w:pBdr>
        <w:jc w:val="both"/>
        <w:rPr>
          <w:rFonts w:cs="Tahoma"/>
        </w:rPr>
      </w:pPr>
      <w:r>
        <w:rPr>
          <w:rFonts w:cs="Tahoma"/>
          <w:b/>
        </w:rPr>
        <w:t xml:space="preserve">MIT: </w:t>
      </w:r>
      <w:r>
        <w:rPr>
          <w:rFonts w:cs="Tahoma"/>
        </w:rPr>
        <w:t>Hormonalna terapia menopauzalna dostępna jest zarówno w formie doustnej, jak</w:t>
      </w:r>
      <w:r>
        <w:rPr>
          <w:rFonts w:cs="Tahoma"/>
        </w:rPr>
        <w:br/>
        <w:t xml:space="preserve">i  </w:t>
      </w:r>
      <w:proofErr w:type="spellStart"/>
      <w:r>
        <w:rPr>
          <w:rFonts w:cs="Tahoma"/>
        </w:rPr>
        <w:t>transdermalnej</w:t>
      </w:r>
      <w:proofErr w:type="spellEnd"/>
      <w:r>
        <w:rPr>
          <w:rFonts w:cs="Tahoma"/>
        </w:rPr>
        <w:t xml:space="preserve">. Najszersze spectrum możliwości wyboru daje metoda </w:t>
      </w:r>
      <w:proofErr w:type="spellStart"/>
      <w:r>
        <w:rPr>
          <w:rFonts w:cs="Tahoma"/>
        </w:rPr>
        <w:t>transdermalna</w:t>
      </w:r>
      <w:proofErr w:type="spellEnd"/>
      <w:r>
        <w:rPr>
          <w:rFonts w:cs="Tahoma"/>
        </w:rPr>
        <w:t>, oferująca zarówno plastry, żele, jak i spraye. Przezskórna aplikacja estrogenów zawartych w HTM charakteryzuje się większym profilem bezpieczeństwa oraz dyskrecją i wygodą stosowania. Dzięki omijaniu tzw. efektu pierwszego przejścia, nie obciąża wątroby oraz zmniejsza ryzyko powikłań wchłaniania leku w przypadku zaburzeń układu pokarmowego. Dodatkowo, dawka hormonów uwalniana za pomocą sprayu może być, po ustaleniach z lekarzem, dowolnie modyfikowana</w:t>
      </w:r>
      <w:r>
        <w:rPr>
          <w:rFonts w:cs="Tahoma"/>
        </w:rPr>
        <w:br/>
        <w:t xml:space="preserve">w zależności od indywidualnych potrzeb kobiety. Należy jednak pamiętać, że forma przezskórna nie jest wskazana dla kobiet z nadwagą. Jeśli masa ciała kobiety jest zbyt wysoka, może okazać się, że hormony nie są dostarczane do organizmu na poziomie umożliwiającym uzyskanie pożądanego działania HTM. </w:t>
      </w:r>
    </w:p>
    <w:p w:rsidR="00D1437E" w:rsidRDefault="00D1437E" w:rsidP="00A75531">
      <w:pPr>
        <w:pBdr>
          <w:top w:val="none" w:sz="0" w:space="0" w:color="auto"/>
          <w:left w:val="none" w:sz="0" w:space="0" w:color="auto"/>
          <w:bottom w:val="none" w:sz="0" w:space="0" w:color="auto"/>
          <w:right w:val="none" w:sz="0" w:space="0" w:color="auto"/>
          <w:bar w:val="none" w:sz="0" w:color="auto"/>
        </w:pBdr>
        <w:jc w:val="both"/>
        <w:rPr>
          <w:rFonts w:cs="Tahoma"/>
        </w:rPr>
      </w:pPr>
    </w:p>
    <w:p w:rsidR="00D1437E" w:rsidRDefault="00D1437E" w:rsidP="00A75531">
      <w:pPr>
        <w:pBdr>
          <w:top w:val="none" w:sz="0" w:space="0" w:color="auto"/>
          <w:left w:val="none" w:sz="0" w:space="0" w:color="auto"/>
          <w:bottom w:val="none" w:sz="0" w:space="0" w:color="auto"/>
          <w:right w:val="none" w:sz="0" w:space="0" w:color="auto"/>
          <w:bar w:val="none" w:sz="0" w:color="auto"/>
        </w:pBdr>
        <w:jc w:val="both"/>
        <w:rPr>
          <w:rFonts w:cs="Tahoma"/>
        </w:rPr>
      </w:pPr>
    </w:p>
    <w:p w:rsidR="00D1437E" w:rsidRPr="00A75531" w:rsidRDefault="00D1437E" w:rsidP="00A75531">
      <w:pPr>
        <w:pBdr>
          <w:top w:val="none" w:sz="0" w:space="0" w:color="auto"/>
          <w:left w:val="none" w:sz="0" w:space="0" w:color="auto"/>
          <w:bottom w:val="none" w:sz="0" w:space="0" w:color="auto"/>
          <w:right w:val="none" w:sz="0" w:space="0" w:color="auto"/>
          <w:bar w:val="none" w:sz="0" w:color="auto"/>
        </w:pBdr>
        <w:jc w:val="both"/>
        <w:rPr>
          <w:rFonts w:cs="Tahoma"/>
        </w:rPr>
      </w:pPr>
      <w:bookmarkStart w:id="0" w:name="_GoBack"/>
      <w:bookmarkEnd w:id="0"/>
    </w:p>
    <w:p w:rsidR="00F00017" w:rsidRDefault="00F00017" w:rsidP="0092204B">
      <w:pPr>
        <w:numPr>
          <w:ilvl w:val="0"/>
          <w:numId w:val="4"/>
        </w:numPr>
        <w:pBdr>
          <w:top w:val="none" w:sz="0" w:space="0" w:color="auto"/>
          <w:left w:val="none" w:sz="0" w:space="0" w:color="auto"/>
          <w:bottom w:val="none" w:sz="0" w:space="0" w:color="auto"/>
          <w:right w:val="none" w:sz="0" w:space="0" w:color="auto"/>
          <w:bar w:val="none" w:sz="0" w:color="auto"/>
        </w:pBdr>
        <w:jc w:val="both"/>
        <w:rPr>
          <w:rFonts w:cs="Tahoma"/>
          <w:b/>
        </w:rPr>
      </w:pPr>
      <w:r>
        <w:rPr>
          <w:rFonts w:cs="Tahoma"/>
          <w:b/>
        </w:rPr>
        <w:t>Lepsze od hormonalnej terapii menopauzalnej są suplementy diety oparte na fitohormonach</w:t>
      </w:r>
    </w:p>
    <w:p w:rsidR="00F00017" w:rsidRPr="00B140BF" w:rsidRDefault="00F00017" w:rsidP="0092204B">
      <w:pPr>
        <w:pBdr>
          <w:top w:val="none" w:sz="0" w:space="0" w:color="auto"/>
          <w:left w:val="none" w:sz="0" w:space="0" w:color="auto"/>
          <w:bottom w:val="none" w:sz="0" w:space="0" w:color="auto"/>
          <w:right w:val="none" w:sz="0" w:space="0" w:color="auto"/>
          <w:bar w:val="none" w:sz="0" w:color="auto"/>
        </w:pBdr>
        <w:jc w:val="both"/>
        <w:rPr>
          <w:rFonts w:cs="Tahoma"/>
        </w:rPr>
      </w:pPr>
      <w:r>
        <w:rPr>
          <w:rFonts w:cs="Tahoma"/>
          <w:b/>
        </w:rPr>
        <w:t xml:space="preserve"> MIT: </w:t>
      </w:r>
      <w:r>
        <w:rPr>
          <w:rFonts w:cs="Tahoma"/>
        </w:rPr>
        <w:t>Hormony roślinne (fitohormony) nie są tak skuteczne w niwelowaniu objawów menopauzy jak syntetyczne</w:t>
      </w:r>
      <w:r w:rsidR="00AF4FF6">
        <w:rPr>
          <w:rFonts w:cs="Tahoma"/>
        </w:rPr>
        <w:t>.</w:t>
      </w:r>
      <w:r>
        <w:rPr>
          <w:rFonts w:cs="Tahoma"/>
        </w:rPr>
        <w:t xml:space="preserve"> Jeżeli zależy nam na profilaktyce chorób oraz zachowaniu młodego wyglądu skóry, rekomendowane jest stosowanie HTM. </w:t>
      </w:r>
    </w:p>
    <w:p w:rsidR="00F00017" w:rsidRDefault="00F00017" w:rsidP="00AD1D05">
      <w:pPr>
        <w:numPr>
          <w:ilvl w:val="0"/>
          <w:numId w:val="4"/>
        </w:numPr>
        <w:pBdr>
          <w:top w:val="none" w:sz="0" w:space="0" w:color="auto"/>
          <w:left w:val="none" w:sz="0" w:space="0" w:color="auto"/>
          <w:bottom w:val="none" w:sz="0" w:space="0" w:color="auto"/>
          <w:right w:val="none" w:sz="0" w:space="0" w:color="auto"/>
          <w:bar w:val="none" w:sz="0" w:color="auto"/>
        </w:pBdr>
        <w:jc w:val="both"/>
        <w:rPr>
          <w:rFonts w:cs="Tahoma"/>
          <w:b/>
        </w:rPr>
      </w:pPr>
      <w:r>
        <w:rPr>
          <w:rFonts w:cs="Tahoma"/>
          <w:b/>
        </w:rPr>
        <w:t>Jeżeli objawy klimakterium są niedokuczliwe, nie ma konieczności stosowania HTM</w:t>
      </w:r>
    </w:p>
    <w:p w:rsidR="00AF4FF6" w:rsidRDefault="00AF4FF6" w:rsidP="00AF4FF6">
      <w:pPr>
        <w:pBdr>
          <w:top w:val="none" w:sz="0" w:space="0" w:color="auto"/>
          <w:left w:val="none" w:sz="0" w:space="0" w:color="auto"/>
          <w:bottom w:val="none" w:sz="0" w:space="0" w:color="auto"/>
          <w:right w:val="none" w:sz="0" w:space="0" w:color="auto"/>
          <w:bar w:val="none" w:sz="0" w:color="auto"/>
        </w:pBdr>
        <w:jc w:val="both"/>
        <w:rPr>
          <w:rFonts w:cs="Tahoma"/>
        </w:rPr>
      </w:pPr>
      <w:r>
        <w:rPr>
          <w:rFonts w:cs="Tahoma"/>
          <w:b/>
        </w:rPr>
        <w:t>PRAWDA/</w:t>
      </w:r>
      <w:r w:rsidR="00F00017">
        <w:rPr>
          <w:rFonts w:cs="Tahoma"/>
          <w:b/>
        </w:rPr>
        <w:t xml:space="preserve">MIT: </w:t>
      </w:r>
      <w:r w:rsidR="00F00017" w:rsidRPr="00D70242">
        <w:rPr>
          <w:rFonts w:cs="Tahoma"/>
        </w:rPr>
        <w:t>Hormon</w:t>
      </w:r>
      <w:r w:rsidR="00F00017">
        <w:rPr>
          <w:rFonts w:cs="Tahoma"/>
        </w:rPr>
        <w:t xml:space="preserve">alna terapia menopauzalna nie wpływa jedynie na zmniejszenie objawów okołomenopauzalnych, jak uderzenia gorąca czy drażliwość, ale przeciwdziała także poważnym chorobom charakterystycznym dla tego okresu, jak </w:t>
      </w:r>
      <w:r>
        <w:rPr>
          <w:rFonts w:cs="Tahoma"/>
        </w:rPr>
        <w:t>np.</w:t>
      </w:r>
      <w:r w:rsidR="00F00017">
        <w:rPr>
          <w:rFonts w:cs="Tahoma"/>
        </w:rPr>
        <w:t xml:space="preserve"> osteoporoza. Wystąpienie </w:t>
      </w:r>
      <w:r>
        <w:rPr>
          <w:rFonts w:cs="Tahoma"/>
        </w:rPr>
        <w:t>jej</w:t>
      </w:r>
      <w:r w:rsidR="00F00017">
        <w:rPr>
          <w:rFonts w:cs="Tahoma"/>
        </w:rPr>
        <w:t xml:space="preserve"> u kobiet po 50. roku życia jest szczególnie powszechne, ponieważ obniżenie poziomu estrogenów wskutek menopauzy niekorzystnie wpływa na gęstość kości. </w:t>
      </w:r>
    </w:p>
    <w:p w:rsidR="00F00017" w:rsidRDefault="00F00017" w:rsidP="00120D71">
      <w:pPr>
        <w:pBdr>
          <w:top w:val="none" w:sz="0" w:space="0" w:color="auto"/>
          <w:left w:val="none" w:sz="0" w:space="0" w:color="auto"/>
          <w:bottom w:val="none" w:sz="0" w:space="0" w:color="auto"/>
          <w:right w:val="none" w:sz="0" w:space="0" w:color="auto"/>
          <w:bar w:val="none" w:sz="0" w:color="auto"/>
        </w:pBdr>
        <w:jc w:val="both"/>
        <w:rPr>
          <w:rFonts w:cs="Tahoma"/>
          <w:b/>
        </w:rPr>
      </w:pPr>
      <w:r>
        <w:rPr>
          <w:rFonts w:cs="Tahoma"/>
          <w:b/>
        </w:rPr>
        <w:t>HTM jest przyczyną nowotworów i chorób sercowo-naczyniowych</w:t>
      </w:r>
    </w:p>
    <w:p w:rsidR="00F00017" w:rsidRDefault="00F00017" w:rsidP="00B140BF">
      <w:pPr>
        <w:pBdr>
          <w:top w:val="none" w:sz="0" w:space="0" w:color="auto"/>
          <w:left w:val="none" w:sz="0" w:space="0" w:color="auto"/>
          <w:bottom w:val="none" w:sz="0" w:space="0" w:color="auto"/>
          <w:right w:val="none" w:sz="0" w:space="0" w:color="auto"/>
          <w:bar w:val="none" w:sz="0" w:color="auto"/>
        </w:pBdr>
        <w:jc w:val="both"/>
        <w:rPr>
          <w:rFonts w:cs="Tahoma"/>
          <w:b/>
        </w:rPr>
      </w:pPr>
      <w:r>
        <w:rPr>
          <w:rFonts w:cs="Tahoma"/>
          <w:b/>
        </w:rPr>
        <w:t xml:space="preserve">MIT: </w:t>
      </w:r>
      <w:r w:rsidRPr="0092204B">
        <w:rPr>
          <w:rFonts w:cs="Tahoma"/>
        </w:rPr>
        <w:t xml:space="preserve">Niższe stężenie estrogenów w organizmie, z którym zmagają się kobiety w okresie okołomenopauzalnym, odpowiada za zwiększone ryzyko </w:t>
      </w:r>
      <w:r>
        <w:rPr>
          <w:rFonts w:cs="Tahoma"/>
        </w:rPr>
        <w:t xml:space="preserve">wystąpienia </w:t>
      </w:r>
      <w:r w:rsidRPr="0092204B">
        <w:rPr>
          <w:rFonts w:cs="Tahoma"/>
        </w:rPr>
        <w:t xml:space="preserve">chorób układu sercowo-naczyniowego. Pomiędzy </w:t>
      </w:r>
      <w:r>
        <w:rPr>
          <w:rFonts w:cs="Tahoma"/>
        </w:rPr>
        <w:t>45.</w:t>
      </w:r>
      <w:r w:rsidRPr="0092204B">
        <w:rPr>
          <w:rFonts w:cs="Tahoma"/>
        </w:rPr>
        <w:t>a 50. rokiem życia szacuje się aż 3-krotny wzrost zapadalności na choroby sercowo-naczyniowe w porównaniu z k</w:t>
      </w:r>
      <w:r>
        <w:rPr>
          <w:rFonts w:cs="Tahoma"/>
        </w:rPr>
        <w:t xml:space="preserve">obietami będącymi w okresie </w:t>
      </w:r>
      <w:proofErr w:type="spellStart"/>
      <w:r>
        <w:rPr>
          <w:rFonts w:cs="Tahoma"/>
        </w:rPr>
        <w:t>przed</w:t>
      </w:r>
      <w:r w:rsidRPr="0092204B">
        <w:rPr>
          <w:rFonts w:cs="Tahoma"/>
        </w:rPr>
        <w:t>menopauzalnym</w:t>
      </w:r>
      <w:proofErr w:type="spellEnd"/>
      <w:r w:rsidRPr="0092204B">
        <w:rPr>
          <w:rFonts w:cs="Tahoma"/>
        </w:rPr>
        <w:t>.</w:t>
      </w:r>
      <w:r>
        <w:rPr>
          <w:rFonts w:cs="Tahoma"/>
          <w:b/>
        </w:rPr>
        <w:t xml:space="preserve"> </w:t>
      </w:r>
      <w:r w:rsidRPr="0092204B">
        <w:rPr>
          <w:rFonts w:cs="Tahoma"/>
        </w:rPr>
        <w:t>Większość</w:t>
      </w:r>
      <w:r>
        <w:rPr>
          <w:rFonts w:cs="Tahoma"/>
        </w:rPr>
        <w:t xml:space="preserve"> dostępnych badań potwierdza korzystny wpływ hormonalnej terapii zastępczej (HT</w:t>
      </w:r>
      <w:r w:rsidR="00AF4FF6">
        <w:rPr>
          <w:rFonts w:cs="Tahoma"/>
        </w:rPr>
        <w:t>M</w:t>
      </w:r>
      <w:r>
        <w:rPr>
          <w:rFonts w:cs="Tahoma"/>
        </w:rPr>
        <w:t xml:space="preserve">) na hamowanie rozwoju chorób układu krążenia. Ważną rolę w tym przypadku odgrywa jednak czas rozpoczęcia stosowania tej metody. Im wcześniej rozpoczęta, tym lepszych efektów jej działania można się spodziewać. Podanie HTM kilka lat po wystąpieniu menopauzy, może zwiększać ryzyko powikłań zakrzepowo-zatorowych. </w:t>
      </w:r>
    </w:p>
    <w:p w:rsidR="00F00017" w:rsidRDefault="00F00017" w:rsidP="00DE6560">
      <w:pPr>
        <w:numPr>
          <w:ilvl w:val="0"/>
          <w:numId w:val="4"/>
        </w:numPr>
        <w:pBdr>
          <w:top w:val="none" w:sz="0" w:space="0" w:color="auto"/>
          <w:left w:val="none" w:sz="0" w:space="0" w:color="auto"/>
          <w:bottom w:val="none" w:sz="0" w:space="0" w:color="auto"/>
          <w:right w:val="none" w:sz="0" w:space="0" w:color="auto"/>
          <w:bar w:val="none" w:sz="0" w:color="auto"/>
        </w:pBdr>
        <w:jc w:val="both"/>
        <w:rPr>
          <w:rFonts w:cs="Tahoma"/>
          <w:b/>
        </w:rPr>
      </w:pPr>
      <w:r>
        <w:rPr>
          <w:rFonts w:cs="Tahoma"/>
          <w:b/>
        </w:rPr>
        <w:t xml:space="preserve">HTM niesie za sobą więcej działań niepożądanych dla organizmu niż zalet </w:t>
      </w:r>
    </w:p>
    <w:p w:rsidR="00F00017" w:rsidRPr="00225490" w:rsidRDefault="00F00017" w:rsidP="001B7357">
      <w:pPr>
        <w:pBdr>
          <w:top w:val="none" w:sz="0" w:space="0" w:color="auto"/>
          <w:left w:val="none" w:sz="0" w:space="0" w:color="auto"/>
          <w:bottom w:val="none" w:sz="0" w:space="0" w:color="auto"/>
          <w:right w:val="none" w:sz="0" w:space="0" w:color="auto"/>
          <w:bar w:val="none" w:sz="0" w:color="auto"/>
        </w:pBdr>
        <w:jc w:val="both"/>
        <w:rPr>
          <w:rFonts w:cs="Tahoma"/>
        </w:rPr>
      </w:pPr>
      <w:r w:rsidRPr="0092204B">
        <w:rPr>
          <w:rFonts w:cs="Tahoma"/>
          <w:b/>
        </w:rPr>
        <w:t xml:space="preserve">MIT: </w:t>
      </w:r>
      <w:r w:rsidRPr="00AD1D05">
        <w:rPr>
          <w:rFonts w:cs="Tahoma"/>
        </w:rPr>
        <w:t>Hormonalna terapia menopauzalna</w:t>
      </w:r>
      <w:r>
        <w:rPr>
          <w:rFonts w:cs="Tahoma"/>
        </w:rPr>
        <w:t xml:space="preserve"> dzięki uzupełnianiu poziomu estrogenów w organizmie kobiety, wpływa zarówno na zmniejszenie ryzyka wystąpienia poważnych chorób związanych</w:t>
      </w:r>
      <w:r>
        <w:rPr>
          <w:rFonts w:cs="Tahoma"/>
        </w:rPr>
        <w:br/>
        <w:t xml:space="preserve">z okresem okołomenopauzalnym, jak i na wygląd zewnętrzny kobiet. Obniżony poziom estrogenów prowadzi bowiem do odkładania się tłuszczu w okolicach brzucha, nadmiernej suchości i wiotkości skóry, a także zmian w obrębie narządów płciowych – zaniku nabłonka pochwy oraz warg sromowych i </w:t>
      </w:r>
      <w:r w:rsidR="00AF4FF6">
        <w:rPr>
          <w:rFonts w:cs="Tahoma"/>
        </w:rPr>
        <w:t xml:space="preserve">częstszych </w:t>
      </w:r>
      <w:r>
        <w:rPr>
          <w:rFonts w:cs="Tahoma"/>
        </w:rPr>
        <w:t>stanów zapalnych</w:t>
      </w:r>
      <w:r w:rsidR="00AF4FF6">
        <w:rPr>
          <w:rFonts w:cs="Tahoma"/>
        </w:rPr>
        <w:t xml:space="preserve"> w okolicach intymnych</w:t>
      </w:r>
      <w:r>
        <w:rPr>
          <w:rFonts w:cs="Tahoma"/>
        </w:rPr>
        <w:t xml:space="preserve">. HTM poprzez dostarczanie i utrzymywanie poziomu estrogenów na stabilnym poziomie, pomaga w niwelowaniu tych objawów. </w:t>
      </w:r>
    </w:p>
    <w:sectPr w:rsidR="00F00017" w:rsidRPr="00225490" w:rsidSect="006E329D">
      <w:headerReference w:type="default" r:id="rId8"/>
      <w:footerReference w:type="default" r:id="rId9"/>
      <w:pgSz w:w="11900" w:h="16840"/>
      <w:pgMar w:top="1799" w:right="1417" w:bottom="1417" w:left="1417" w:header="0" w:footer="510" w:gutter="0"/>
      <w:cols w:space="708"/>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1E2B" w:rsidRDefault="00A91E2B">
      <w:pPr>
        <w:pBdr>
          <w:top w:val="none" w:sz="0" w:space="0" w:color="auto"/>
          <w:left w:val="none" w:sz="0" w:space="0" w:color="auto"/>
          <w:bottom w:val="none" w:sz="0" w:space="0" w:color="auto"/>
          <w:right w:val="none" w:sz="0" w:space="0" w:color="auto"/>
          <w:bar w:val="none" w:sz="0" w:color="auto"/>
        </w:pBdr>
        <w:spacing w:after="0" w:line="240" w:lineRule="auto"/>
      </w:pPr>
      <w:r>
        <w:separator/>
      </w:r>
    </w:p>
  </w:endnote>
  <w:endnote w:type="continuationSeparator" w:id="0">
    <w:p w:rsidR="00A91E2B" w:rsidRDefault="00A91E2B">
      <w:pPr>
        <w:pBdr>
          <w:top w:val="none" w:sz="0" w:space="0" w:color="auto"/>
          <w:left w:val="none" w:sz="0" w:space="0" w:color="auto"/>
          <w:bottom w:val="none" w:sz="0" w:space="0" w:color="auto"/>
          <w:right w:val="none" w:sz="0" w:space="0" w:color="auto"/>
          <w:bar w:val="none" w:sz="0" w:color="auto"/>
        </w:pBdr>
        <w:spacing w:after="0" w:line="240" w:lineRule="auto"/>
      </w:pPr>
      <w:r>
        <w:continuationSeparator/>
      </w:r>
    </w:p>
  </w:endnote>
  <w:endnote w:type="continuationNotice" w:id="1">
    <w:p w:rsidR="00A91E2B" w:rsidRDefault="00A91E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10002FF" w:usb1="4000ACFF" w:usb2="00000009" w:usb3="00000000" w:csb0="000001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EE"/>
    <w:family w:val="swiss"/>
    <w:pitch w:val="variable"/>
    <w:sig w:usb0="61002A87" w:usb1="80000000" w:usb2="00000008"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0017" w:rsidRDefault="00701F30">
    <w:pPr>
      <w:pStyle w:val="Stopka"/>
      <w:pBdr>
        <w:top w:val="none" w:sz="0" w:space="0" w:color="auto"/>
        <w:left w:val="none" w:sz="0" w:space="0" w:color="auto"/>
        <w:bottom w:val="none" w:sz="0" w:space="0" w:color="auto"/>
        <w:right w:val="none" w:sz="0" w:space="0" w:color="auto"/>
        <w:bar w:val="none" w:sz="0" w:color="auto"/>
      </w:pBdr>
      <w:tabs>
        <w:tab w:val="clear" w:pos="9072"/>
        <w:tab w:val="right" w:pos="9046"/>
      </w:tabs>
      <w:jc w:val="center"/>
    </w:pPr>
    <w:r>
      <w:rPr>
        <w:noProof/>
      </w:rPr>
      <w:drawing>
        <wp:inline distT="0" distB="0" distL="0" distR="0" wp14:anchorId="584961A0" wp14:editId="1233275F">
          <wp:extent cx="3333750" cy="942975"/>
          <wp:effectExtent l="0" t="0" r="0" b="9525"/>
          <wp:docPr id="1"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33750" cy="942975"/>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1E2B" w:rsidRDefault="00A91E2B">
      <w:pPr>
        <w:pBdr>
          <w:top w:val="none" w:sz="0" w:space="0" w:color="auto"/>
          <w:left w:val="none" w:sz="0" w:space="0" w:color="auto"/>
          <w:bottom w:val="none" w:sz="0" w:space="0" w:color="auto"/>
          <w:right w:val="none" w:sz="0" w:space="0" w:color="auto"/>
          <w:bar w:val="none" w:sz="0" w:color="auto"/>
        </w:pBdr>
      </w:pPr>
      <w:r>
        <w:separator/>
      </w:r>
    </w:p>
  </w:footnote>
  <w:footnote w:type="continuationSeparator" w:id="0">
    <w:p w:rsidR="00A91E2B" w:rsidRDefault="00A91E2B">
      <w:pPr>
        <w:pBdr>
          <w:top w:val="none" w:sz="0" w:space="0" w:color="auto"/>
          <w:left w:val="none" w:sz="0" w:space="0" w:color="auto"/>
          <w:bottom w:val="none" w:sz="0" w:space="0" w:color="auto"/>
          <w:right w:val="none" w:sz="0" w:space="0" w:color="auto"/>
          <w:bar w:val="none" w:sz="0" w:color="auto"/>
        </w:pBdr>
      </w:pPr>
      <w:r>
        <w:continuationSeparator/>
      </w:r>
    </w:p>
  </w:footnote>
  <w:footnote w:type="continuationNotice" w:id="1">
    <w:p w:rsidR="00A91E2B" w:rsidRDefault="00A91E2B">
      <w:pPr>
        <w:pBdr>
          <w:top w:val="none" w:sz="0" w:space="0" w:color="auto"/>
          <w:left w:val="none" w:sz="0" w:space="0" w:color="auto"/>
          <w:bottom w:val="none" w:sz="0" w:space="0" w:color="auto"/>
          <w:right w:val="none" w:sz="0" w:space="0" w:color="auto"/>
          <w:bar w:val="none" w:sz="0" w:color="auto"/>
        </w:pBdr>
      </w:pPr>
    </w:p>
  </w:footnote>
  <w:footnote w:id="2">
    <w:p w:rsidR="00F00017" w:rsidRDefault="00F00017">
      <w:pPr>
        <w:pStyle w:val="Tekstprzypisudolnego"/>
        <w:pBdr>
          <w:top w:val="none" w:sz="0" w:space="0" w:color="auto"/>
          <w:left w:val="none" w:sz="0" w:space="0" w:color="auto"/>
          <w:bottom w:val="none" w:sz="0" w:space="0" w:color="auto"/>
          <w:right w:val="none" w:sz="0" w:space="0" w:color="auto"/>
          <w:bar w:val="none" w:sz="0" w:color="auto"/>
        </w:pBdr>
      </w:pPr>
      <w:r>
        <w:rPr>
          <w:rStyle w:val="Odwoanieprzypisudolnego"/>
        </w:rPr>
        <w:footnoteRef/>
      </w:r>
      <w:r>
        <w:t xml:space="preserve"> Ogólnopolskie badanie zrealizowane w ramach programu „Zdrowa ONA” zainicjowanego przez Gedeon Richter, przeprowadzone w lipcu 2016 roku metodą internetowych zestandaryzowanych wywiadów kwestionariuszowych (CAWI) przez agencję SW </w:t>
      </w:r>
      <w:proofErr w:type="spellStart"/>
      <w:r>
        <w:t>Research</w:t>
      </w:r>
      <w:proofErr w:type="spellEnd"/>
      <w:r>
        <w:t>. Badaniem objęto łącznie 605 kobiet w wieku 44-55 lat.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0017" w:rsidRDefault="00701F30">
    <w:pPr>
      <w:pStyle w:val="Nagwek"/>
      <w:pBdr>
        <w:top w:val="none" w:sz="0" w:space="0" w:color="auto"/>
        <w:left w:val="none" w:sz="0" w:space="0" w:color="auto"/>
        <w:bottom w:val="none" w:sz="0" w:space="0" w:color="auto"/>
        <w:right w:val="none" w:sz="0" w:space="0" w:color="auto"/>
        <w:bar w:val="none" w:sz="0" w:color="auto"/>
      </w:pBdr>
      <w:tabs>
        <w:tab w:val="clear" w:pos="9072"/>
        <w:tab w:val="right" w:pos="9046"/>
      </w:tabs>
      <w:jc w:val="center"/>
    </w:pPr>
    <w:r>
      <w:rPr>
        <w:noProof/>
      </w:rPr>
      <w:drawing>
        <wp:anchor distT="0" distB="0" distL="114300" distR="114300" simplePos="0" relativeHeight="251658240" behindDoc="0" locked="0" layoutInCell="1" allowOverlap="1" wp14:anchorId="6A49D2CE" wp14:editId="2D2905D3">
          <wp:simplePos x="0" y="0"/>
          <wp:positionH relativeFrom="column">
            <wp:posOffset>-633095</wp:posOffset>
          </wp:positionH>
          <wp:positionV relativeFrom="paragraph">
            <wp:posOffset>161925</wp:posOffset>
          </wp:positionV>
          <wp:extent cx="2096135" cy="899795"/>
          <wp:effectExtent l="0" t="0" r="0" b="0"/>
          <wp:wrapSquare wrapText="bothSides"/>
          <wp:docPr id="3"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6135" cy="89979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216" behindDoc="0" locked="0" layoutInCell="1" allowOverlap="1" wp14:anchorId="09A1BF1E" wp14:editId="1D2D997F">
              <wp:simplePos x="0" y="0"/>
              <wp:positionH relativeFrom="column">
                <wp:posOffset>-909320</wp:posOffset>
              </wp:positionH>
              <wp:positionV relativeFrom="paragraph">
                <wp:posOffset>-95250</wp:posOffset>
              </wp:positionV>
              <wp:extent cx="7591425" cy="1295400"/>
              <wp:effectExtent l="0" t="0" r="28575" b="19050"/>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91425" cy="1295400"/>
                      </a:xfrm>
                      <a:prstGeom prst="rect">
                        <a:avLst/>
                      </a:prstGeom>
                      <a:solidFill>
                        <a:srgbClr val="C00000"/>
                      </a:solidFill>
                      <a:ln w="9525">
                        <a:solidFill>
                          <a:srgbClr val="C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71.6pt;margin-top:-7.5pt;width:597.75pt;height:10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" fillcolor="#c00000" strokecolor="#c0000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0164F"/>
    <w:multiLevelType w:val="hybridMultilevel"/>
    <w:tmpl w:val="0F406BD4"/>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
    <w:nsid w:val="258D47C2"/>
    <w:multiLevelType w:val="hybridMultilevel"/>
    <w:tmpl w:val="D0F4CB44"/>
    <w:lvl w:ilvl="0" w:tplc="0415000F">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
    <w:nsid w:val="4C5B12D7"/>
    <w:multiLevelType w:val="hybridMultilevel"/>
    <w:tmpl w:val="01961788"/>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
    <w:nsid w:val="6BC64AA8"/>
    <w:multiLevelType w:val="hybridMultilevel"/>
    <w:tmpl w:val="F5F4167C"/>
    <w:lvl w:ilvl="0" w:tplc="0415000F">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5019"/>
    <w:rsid w:val="00030619"/>
    <w:rsid w:val="00057043"/>
    <w:rsid w:val="00057A67"/>
    <w:rsid w:val="00085FD9"/>
    <w:rsid w:val="00087BBF"/>
    <w:rsid w:val="00090C3D"/>
    <w:rsid w:val="000A6694"/>
    <w:rsid w:val="000E0905"/>
    <w:rsid w:val="00120D71"/>
    <w:rsid w:val="00121AB6"/>
    <w:rsid w:val="00130EFC"/>
    <w:rsid w:val="001475FD"/>
    <w:rsid w:val="001B1BE0"/>
    <w:rsid w:val="001B7357"/>
    <w:rsid w:val="00225490"/>
    <w:rsid w:val="00234883"/>
    <w:rsid w:val="002431AC"/>
    <w:rsid w:val="00267F40"/>
    <w:rsid w:val="0028104B"/>
    <w:rsid w:val="00285E36"/>
    <w:rsid w:val="003070C3"/>
    <w:rsid w:val="00321C59"/>
    <w:rsid w:val="00325E4E"/>
    <w:rsid w:val="00354C99"/>
    <w:rsid w:val="00361A38"/>
    <w:rsid w:val="0037269A"/>
    <w:rsid w:val="00383CD9"/>
    <w:rsid w:val="003A175E"/>
    <w:rsid w:val="003A18CC"/>
    <w:rsid w:val="003A31A2"/>
    <w:rsid w:val="003A7F14"/>
    <w:rsid w:val="00413D18"/>
    <w:rsid w:val="00422AC5"/>
    <w:rsid w:val="0043177C"/>
    <w:rsid w:val="00447168"/>
    <w:rsid w:val="00453E83"/>
    <w:rsid w:val="004B7536"/>
    <w:rsid w:val="004E58DC"/>
    <w:rsid w:val="004E7F26"/>
    <w:rsid w:val="0052599C"/>
    <w:rsid w:val="00532A28"/>
    <w:rsid w:val="00535026"/>
    <w:rsid w:val="00580FF9"/>
    <w:rsid w:val="005A67D0"/>
    <w:rsid w:val="005B5A15"/>
    <w:rsid w:val="005C0842"/>
    <w:rsid w:val="005C7C30"/>
    <w:rsid w:val="005E12D2"/>
    <w:rsid w:val="005F1F34"/>
    <w:rsid w:val="00617C6B"/>
    <w:rsid w:val="006258E0"/>
    <w:rsid w:val="0062681B"/>
    <w:rsid w:val="00643849"/>
    <w:rsid w:val="00645AAC"/>
    <w:rsid w:val="006555BA"/>
    <w:rsid w:val="00657696"/>
    <w:rsid w:val="00681D43"/>
    <w:rsid w:val="0068582F"/>
    <w:rsid w:val="00691E3A"/>
    <w:rsid w:val="00693B7B"/>
    <w:rsid w:val="00697D1D"/>
    <w:rsid w:val="006D1738"/>
    <w:rsid w:val="006E329D"/>
    <w:rsid w:val="00701F30"/>
    <w:rsid w:val="00755366"/>
    <w:rsid w:val="0076208C"/>
    <w:rsid w:val="007A5AFD"/>
    <w:rsid w:val="007B3028"/>
    <w:rsid w:val="007B7F99"/>
    <w:rsid w:val="007D2817"/>
    <w:rsid w:val="008173D2"/>
    <w:rsid w:val="00825606"/>
    <w:rsid w:val="0084051F"/>
    <w:rsid w:val="008411A8"/>
    <w:rsid w:val="00852EF2"/>
    <w:rsid w:val="00872EA1"/>
    <w:rsid w:val="00893625"/>
    <w:rsid w:val="00893FB0"/>
    <w:rsid w:val="008B3C81"/>
    <w:rsid w:val="008B746B"/>
    <w:rsid w:val="008C18C9"/>
    <w:rsid w:val="008C3B06"/>
    <w:rsid w:val="008C779F"/>
    <w:rsid w:val="00902644"/>
    <w:rsid w:val="0092204B"/>
    <w:rsid w:val="00955F66"/>
    <w:rsid w:val="0097698D"/>
    <w:rsid w:val="00977786"/>
    <w:rsid w:val="00987FE2"/>
    <w:rsid w:val="00991572"/>
    <w:rsid w:val="00993CCB"/>
    <w:rsid w:val="009C287A"/>
    <w:rsid w:val="009E3CD3"/>
    <w:rsid w:val="00A22CBC"/>
    <w:rsid w:val="00A319D4"/>
    <w:rsid w:val="00A75531"/>
    <w:rsid w:val="00A901AA"/>
    <w:rsid w:val="00A91E2B"/>
    <w:rsid w:val="00AA06B3"/>
    <w:rsid w:val="00AD0731"/>
    <w:rsid w:val="00AD1D05"/>
    <w:rsid w:val="00AF4FF6"/>
    <w:rsid w:val="00AF75AE"/>
    <w:rsid w:val="00B10791"/>
    <w:rsid w:val="00B140BF"/>
    <w:rsid w:val="00B357DB"/>
    <w:rsid w:val="00B760BD"/>
    <w:rsid w:val="00B84F36"/>
    <w:rsid w:val="00BB2ABC"/>
    <w:rsid w:val="00BD0F34"/>
    <w:rsid w:val="00BE1A33"/>
    <w:rsid w:val="00BE31DC"/>
    <w:rsid w:val="00BF4563"/>
    <w:rsid w:val="00BF493E"/>
    <w:rsid w:val="00C209A9"/>
    <w:rsid w:val="00C34143"/>
    <w:rsid w:val="00C400F5"/>
    <w:rsid w:val="00CC57FA"/>
    <w:rsid w:val="00CD7DED"/>
    <w:rsid w:val="00D12AA3"/>
    <w:rsid w:val="00D1437E"/>
    <w:rsid w:val="00D25906"/>
    <w:rsid w:val="00D42C7A"/>
    <w:rsid w:val="00D54F26"/>
    <w:rsid w:val="00D67F1B"/>
    <w:rsid w:val="00D70242"/>
    <w:rsid w:val="00D91BF6"/>
    <w:rsid w:val="00D936D3"/>
    <w:rsid w:val="00DA4CA7"/>
    <w:rsid w:val="00DB2ADF"/>
    <w:rsid w:val="00DB5019"/>
    <w:rsid w:val="00DE04B1"/>
    <w:rsid w:val="00DE1B9D"/>
    <w:rsid w:val="00DE6560"/>
    <w:rsid w:val="00E23894"/>
    <w:rsid w:val="00E94992"/>
    <w:rsid w:val="00EA3554"/>
    <w:rsid w:val="00EA79FA"/>
    <w:rsid w:val="00EA7B71"/>
    <w:rsid w:val="00EB1D1A"/>
    <w:rsid w:val="00EB53AE"/>
    <w:rsid w:val="00EB6E97"/>
    <w:rsid w:val="00EB7C7F"/>
    <w:rsid w:val="00EC7886"/>
    <w:rsid w:val="00EF4C18"/>
    <w:rsid w:val="00F00017"/>
    <w:rsid w:val="00F02463"/>
    <w:rsid w:val="00F325F3"/>
    <w:rsid w:val="00F44017"/>
    <w:rsid w:val="00F727DC"/>
    <w:rsid w:val="00F7383F"/>
    <w:rsid w:val="00F74D57"/>
    <w:rsid w:val="00F93D1C"/>
    <w:rsid w:val="00FA596F"/>
    <w:rsid w:val="00FB44CE"/>
    <w:rsid w:val="00FB7AD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Strong" w:locked="1" w:semiHidden="0" w:unhideWhenUsed="0" w:qFormat="1"/>
    <w:lsdException w:name="Emphasis" w:locked="1" w:semiHidden="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E329D"/>
    <w:pPr>
      <w:pBdr>
        <w:top w:val="none" w:sz="96" w:space="31" w:color="FFFFFF" w:frame="1"/>
        <w:left w:val="none" w:sz="96" w:space="31" w:color="FFFFFF" w:frame="1"/>
        <w:bottom w:val="none" w:sz="96" w:space="31" w:color="FFFFFF" w:frame="1"/>
        <w:right w:val="none" w:sz="96" w:space="31" w:color="FFFFFF" w:frame="1"/>
        <w:bar w:val="none" w:sz="0" w:color="000000"/>
      </w:pBdr>
      <w:spacing w:after="200" w:line="276" w:lineRule="auto"/>
    </w:pPr>
    <w:rPr>
      <w:rFonts w:ascii="Calibri" w:hAnsi="Calibri" w:cs="Calibri"/>
      <w:color w:val="000000"/>
      <w:sz w:val="22"/>
      <w:szCs w:val="22"/>
      <w:u w:color="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rsid w:val="006E329D"/>
    <w:rPr>
      <w:rFonts w:cs="Times New Roman"/>
      <w:u w:val="single"/>
    </w:rPr>
  </w:style>
  <w:style w:type="table" w:customStyle="1" w:styleId="TableNormal1">
    <w:name w:val="Table Normal1"/>
    <w:uiPriority w:val="99"/>
    <w:rsid w:val="006E329D"/>
    <w:pPr>
      <w:pBdr>
        <w:top w:val="none" w:sz="96" w:space="31" w:color="FFFFFF" w:frame="1"/>
        <w:left w:val="none" w:sz="96" w:space="31" w:color="FFFFFF" w:frame="1"/>
        <w:bottom w:val="none" w:sz="96" w:space="31" w:color="FFFFFF" w:frame="1"/>
        <w:right w:val="none" w:sz="96" w:space="31" w:color="FFFFFF" w:frame="1"/>
        <w:bar w:val="none" w:sz="0" w:color="000000"/>
      </w:pBdr>
    </w:pPr>
    <w:tblPr>
      <w:tblInd w:w="0" w:type="dxa"/>
      <w:tblCellMar>
        <w:top w:w="0" w:type="dxa"/>
        <w:left w:w="0" w:type="dxa"/>
        <w:bottom w:w="0" w:type="dxa"/>
        <w:right w:w="0" w:type="dxa"/>
      </w:tblCellMar>
    </w:tblPr>
  </w:style>
  <w:style w:type="paragraph" w:styleId="Nagwek">
    <w:name w:val="header"/>
    <w:basedOn w:val="Normalny"/>
    <w:link w:val="NagwekZnak"/>
    <w:uiPriority w:val="99"/>
    <w:rsid w:val="006E329D"/>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locked/>
    <w:rsid w:val="0076208C"/>
    <w:rPr>
      <w:rFonts w:ascii="Calibri" w:hAnsi="Calibri" w:cs="Calibri"/>
      <w:color w:val="000000"/>
      <w:u w:color="000000"/>
    </w:rPr>
  </w:style>
  <w:style w:type="paragraph" w:styleId="Stopka">
    <w:name w:val="footer"/>
    <w:basedOn w:val="Normalny"/>
    <w:link w:val="StopkaZnak"/>
    <w:uiPriority w:val="99"/>
    <w:rsid w:val="006E329D"/>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locked/>
    <w:rsid w:val="0076208C"/>
    <w:rPr>
      <w:rFonts w:ascii="Calibri" w:hAnsi="Calibri" w:cs="Calibri"/>
      <w:color w:val="000000"/>
      <w:u w:color="000000"/>
    </w:rPr>
  </w:style>
  <w:style w:type="paragraph" w:styleId="Tekstprzypisudolnego">
    <w:name w:val="footnote text"/>
    <w:basedOn w:val="Normalny"/>
    <w:link w:val="TekstprzypisudolnegoZnak"/>
    <w:uiPriority w:val="99"/>
    <w:rsid w:val="006E329D"/>
    <w:rPr>
      <w:sz w:val="20"/>
      <w:szCs w:val="20"/>
    </w:rPr>
  </w:style>
  <w:style w:type="character" w:customStyle="1" w:styleId="TekstprzypisudolnegoZnak">
    <w:name w:val="Tekst przypisu dolnego Znak"/>
    <w:basedOn w:val="Domylnaczcionkaakapitu"/>
    <w:link w:val="Tekstprzypisudolnego"/>
    <w:uiPriority w:val="99"/>
    <w:semiHidden/>
    <w:locked/>
    <w:rsid w:val="0076208C"/>
    <w:rPr>
      <w:rFonts w:ascii="Calibri" w:hAnsi="Calibri" w:cs="Calibri"/>
      <w:color w:val="000000"/>
      <w:sz w:val="20"/>
      <w:szCs w:val="20"/>
      <w:u w:color="000000"/>
    </w:rPr>
  </w:style>
  <w:style w:type="paragraph" w:customStyle="1" w:styleId="Domylna">
    <w:name w:val="Domyślna"/>
    <w:uiPriority w:val="99"/>
    <w:rsid w:val="006E329D"/>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Helvetica" w:hAnsi="Helvetica" w:cs="Helvetica"/>
      <w:color w:val="000000"/>
      <w:sz w:val="22"/>
      <w:szCs w:val="22"/>
    </w:rPr>
  </w:style>
  <w:style w:type="paragraph" w:styleId="Tekstkomentarza">
    <w:name w:val="annotation text"/>
    <w:basedOn w:val="Normalny"/>
    <w:link w:val="TekstkomentarzaZnak"/>
    <w:uiPriority w:val="99"/>
    <w:semiHidden/>
    <w:rsid w:val="006E329D"/>
    <w:pPr>
      <w:spacing w:line="240" w:lineRule="auto"/>
    </w:pPr>
    <w:rPr>
      <w:sz w:val="20"/>
      <w:szCs w:val="20"/>
    </w:rPr>
  </w:style>
  <w:style w:type="character" w:customStyle="1" w:styleId="TekstkomentarzaZnak">
    <w:name w:val="Tekst komentarza Znak"/>
    <w:basedOn w:val="Domylnaczcionkaakapitu"/>
    <w:link w:val="Tekstkomentarza"/>
    <w:uiPriority w:val="99"/>
    <w:semiHidden/>
    <w:locked/>
    <w:rsid w:val="006E329D"/>
    <w:rPr>
      <w:rFonts w:ascii="Calibri" w:hAnsi="Calibri" w:cs="Calibri"/>
      <w:color w:val="000000"/>
      <w:u w:color="000000"/>
    </w:rPr>
  </w:style>
  <w:style w:type="character" w:styleId="Odwoaniedokomentarza">
    <w:name w:val="annotation reference"/>
    <w:basedOn w:val="Domylnaczcionkaakapitu"/>
    <w:uiPriority w:val="99"/>
    <w:semiHidden/>
    <w:rsid w:val="006E329D"/>
    <w:rPr>
      <w:rFonts w:cs="Times New Roman"/>
      <w:sz w:val="16"/>
      <w:szCs w:val="16"/>
    </w:rPr>
  </w:style>
  <w:style w:type="paragraph" w:styleId="Tekstdymka">
    <w:name w:val="Balloon Text"/>
    <w:basedOn w:val="Normalny"/>
    <w:link w:val="TekstdymkaZnak"/>
    <w:uiPriority w:val="99"/>
    <w:semiHidden/>
    <w:rsid w:val="00422AC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422AC5"/>
    <w:rPr>
      <w:rFonts w:ascii="Tahoma" w:hAnsi="Tahoma" w:cs="Tahoma"/>
      <w:color w:val="000000"/>
      <w:sz w:val="16"/>
      <w:szCs w:val="16"/>
      <w:u w:color="000000"/>
    </w:rPr>
  </w:style>
  <w:style w:type="paragraph" w:styleId="Tematkomentarza">
    <w:name w:val="annotation subject"/>
    <w:basedOn w:val="Tekstkomentarza"/>
    <w:next w:val="Tekstkomentarza"/>
    <w:link w:val="TematkomentarzaZnak"/>
    <w:uiPriority w:val="99"/>
    <w:semiHidden/>
    <w:rsid w:val="00825606"/>
    <w:rPr>
      <w:b/>
      <w:bCs/>
    </w:rPr>
  </w:style>
  <w:style w:type="character" w:customStyle="1" w:styleId="TematkomentarzaZnak">
    <w:name w:val="Temat komentarza Znak"/>
    <w:basedOn w:val="TekstkomentarzaZnak"/>
    <w:link w:val="Tematkomentarza"/>
    <w:uiPriority w:val="99"/>
    <w:semiHidden/>
    <w:locked/>
    <w:rsid w:val="00825606"/>
    <w:rPr>
      <w:rFonts w:ascii="Calibri" w:hAnsi="Calibri" w:cs="Calibri"/>
      <w:b/>
      <w:bCs/>
      <w:color w:val="000000"/>
      <w:u w:color="000000"/>
    </w:rPr>
  </w:style>
  <w:style w:type="paragraph" w:styleId="NormalnyWeb">
    <w:name w:val="Normal (Web)"/>
    <w:basedOn w:val="Normalny"/>
    <w:uiPriority w:val="99"/>
    <w:rsid w:val="00987FE2"/>
    <w:pPr>
      <w:pBdr>
        <w:top w:val="none" w:sz="0" w:space="0" w:color="auto"/>
        <w:left w:val="none" w:sz="0" w:space="0" w:color="auto"/>
        <w:bottom w:val="none" w:sz="0" w:space="0" w:color="auto"/>
        <w:right w:val="none" w:sz="0" w:space="0" w:color="auto"/>
        <w:bar w:val="none" w:sz="0" w:color="auto"/>
      </w:pBdr>
      <w:spacing w:before="100" w:beforeAutospacing="1" w:after="100" w:afterAutospacing="1" w:line="240" w:lineRule="auto"/>
    </w:pPr>
    <w:rPr>
      <w:rFonts w:ascii="Times New Roman" w:eastAsia="MS Mincho" w:hAnsi="Times New Roman" w:cs="Times New Roman"/>
      <w:color w:val="auto"/>
      <w:sz w:val="24"/>
      <w:szCs w:val="24"/>
      <w:lang w:eastAsia="ja-JP"/>
    </w:rPr>
  </w:style>
  <w:style w:type="character" w:styleId="Pogrubienie">
    <w:name w:val="Strong"/>
    <w:basedOn w:val="Domylnaczcionkaakapitu"/>
    <w:uiPriority w:val="99"/>
    <w:qFormat/>
    <w:locked/>
    <w:rsid w:val="00987FE2"/>
    <w:rPr>
      <w:rFonts w:cs="Times New Roman"/>
      <w:b/>
    </w:rPr>
  </w:style>
  <w:style w:type="character" w:customStyle="1" w:styleId="apple-converted-space">
    <w:name w:val="apple-converted-space"/>
    <w:basedOn w:val="Domylnaczcionkaakapitu"/>
    <w:uiPriority w:val="99"/>
    <w:rsid w:val="00987FE2"/>
    <w:rPr>
      <w:rFonts w:cs="Times New Roman"/>
    </w:rPr>
  </w:style>
  <w:style w:type="character" w:styleId="Odwoanieprzypisudolnego">
    <w:name w:val="footnote reference"/>
    <w:basedOn w:val="Domylnaczcionkaakapitu"/>
    <w:uiPriority w:val="99"/>
    <w:semiHidden/>
    <w:rsid w:val="00EA79FA"/>
    <w:rPr>
      <w:rFonts w:cs="Times New Roman"/>
      <w:vertAlign w:val="superscript"/>
    </w:rPr>
  </w:style>
  <w:style w:type="table" w:styleId="Tabela-Siatka">
    <w:name w:val="Table Grid"/>
    <w:basedOn w:val="Standardowy"/>
    <w:uiPriority w:val="99"/>
    <w:locked/>
    <w:rsid w:val="005B5A15"/>
    <w:pPr>
      <w:pBdr>
        <w:top w:val="none" w:sz="96" w:space="31" w:color="FFFFFF" w:frame="1"/>
        <w:left w:val="none" w:sz="96" w:space="31" w:color="FFFFFF" w:frame="1"/>
        <w:bottom w:val="none" w:sz="96" w:space="31" w:color="FFFFFF" w:frame="1"/>
        <w:right w:val="none" w:sz="96" w:space="31" w:color="FFFFFF" w:frame="1"/>
        <w:bar w:val="none" w:sz="0" w:color="000000"/>
      </w:pBd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wydatnienie">
    <w:name w:val="Emphasis"/>
    <w:basedOn w:val="Domylnaczcionkaakapitu"/>
    <w:uiPriority w:val="99"/>
    <w:qFormat/>
    <w:locked/>
    <w:rsid w:val="003A18CC"/>
    <w:rPr>
      <w:rFonts w:cs="Times New Roman"/>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Strong" w:locked="1" w:semiHidden="0" w:unhideWhenUsed="0" w:qFormat="1"/>
    <w:lsdException w:name="Emphasis" w:locked="1" w:semiHidden="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E329D"/>
    <w:pPr>
      <w:pBdr>
        <w:top w:val="none" w:sz="96" w:space="31" w:color="FFFFFF" w:frame="1"/>
        <w:left w:val="none" w:sz="96" w:space="31" w:color="FFFFFF" w:frame="1"/>
        <w:bottom w:val="none" w:sz="96" w:space="31" w:color="FFFFFF" w:frame="1"/>
        <w:right w:val="none" w:sz="96" w:space="31" w:color="FFFFFF" w:frame="1"/>
        <w:bar w:val="none" w:sz="0" w:color="000000"/>
      </w:pBdr>
      <w:spacing w:after="200" w:line="276" w:lineRule="auto"/>
    </w:pPr>
    <w:rPr>
      <w:rFonts w:ascii="Calibri" w:hAnsi="Calibri" w:cs="Calibri"/>
      <w:color w:val="000000"/>
      <w:sz w:val="22"/>
      <w:szCs w:val="22"/>
      <w:u w:color="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rsid w:val="006E329D"/>
    <w:rPr>
      <w:rFonts w:cs="Times New Roman"/>
      <w:u w:val="single"/>
    </w:rPr>
  </w:style>
  <w:style w:type="table" w:customStyle="1" w:styleId="TableNormal1">
    <w:name w:val="Table Normal1"/>
    <w:uiPriority w:val="99"/>
    <w:rsid w:val="006E329D"/>
    <w:pPr>
      <w:pBdr>
        <w:top w:val="none" w:sz="96" w:space="31" w:color="FFFFFF" w:frame="1"/>
        <w:left w:val="none" w:sz="96" w:space="31" w:color="FFFFFF" w:frame="1"/>
        <w:bottom w:val="none" w:sz="96" w:space="31" w:color="FFFFFF" w:frame="1"/>
        <w:right w:val="none" w:sz="96" w:space="31" w:color="FFFFFF" w:frame="1"/>
        <w:bar w:val="none" w:sz="0" w:color="000000"/>
      </w:pBdr>
    </w:pPr>
    <w:tblPr>
      <w:tblInd w:w="0" w:type="dxa"/>
      <w:tblCellMar>
        <w:top w:w="0" w:type="dxa"/>
        <w:left w:w="0" w:type="dxa"/>
        <w:bottom w:w="0" w:type="dxa"/>
        <w:right w:w="0" w:type="dxa"/>
      </w:tblCellMar>
    </w:tblPr>
  </w:style>
  <w:style w:type="paragraph" w:styleId="Nagwek">
    <w:name w:val="header"/>
    <w:basedOn w:val="Normalny"/>
    <w:link w:val="NagwekZnak"/>
    <w:uiPriority w:val="99"/>
    <w:rsid w:val="006E329D"/>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locked/>
    <w:rsid w:val="0076208C"/>
    <w:rPr>
      <w:rFonts w:ascii="Calibri" w:hAnsi="Calibri" w:cs="Calibri"/>
      <w:color w:val="000000"/>
      <w:u w:color="000000"/>
    </w:rPr>
  </w:style>
  <w:style w:type="paragraph" w:styleId="Stopka">
    <w:name w:val="footer"/>
    <w:basedOn w:val="Normalny"/>
    <w:link w:val="StopkaZnak"/>
    <w:uiPriority w:val="99"/>
    <w:rsid w:val="006E329D"/>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locked/>
    <w:rsid w:val="0076208C"/>
    <w:rPr>
      <w:rFonts w:ascii="Calibri" w:hAnsi="Calibri" w:cs="Calibri"/>
      <w:color w:val="000000"/>
      <w:u w:color="000000"/>
    </w:rPr>
  </w:style>
  <w:style w:type="paragraph" w:styleId="Tekstprzypisudolnego">
    <w:name w:val="footnote text"/>
    <w:basedOn w:val="Normalny"/>
    <w:link w:val="TekstprzypisudolnegoZnak"/>
    <w:uiPriority w:val="99"/>
    <w:rsid w:val="006E329D"/>
    <w:rPr>
      <w:sz w:val="20"/>
      <w:szCs w:val="20"/>
    </w:rPr>
  </w:style>
  <w:style w:type="character" w:customStyle="1" w:styleId="TekstprzypisudolnegoZnak">
    <w:name w:val="Tekst przypisu dolnego Znak"/>
    <w:basedOn w:val="Domylnaczcionkaakapitu"/>
    <w:link w:val="Tekstprzypisudolnego"/>
    <w:uiPriority w:val="99"/>
    <w:semiHidden/>
    <w:locked/>
    <w:rsid w:val="0076208C"/>
    <w:rPr>
      <w:rFonts w:ascii="Calibri" w:hAnsi="Calibri" w:cs="Calibri"/>
      <w:color w:val="000000"/>
      <w:sz w:val="20"/>
      <w:szCs w:val="20"/>
      <w:u w:color="000000"/>
    </w:rPr>
  </w:style>
  <w:style w:type="paragraph" w:customStyle="1" w:styleId="Domylna">
    <w:name w:val="Domyślna"/>
    <w:uiPriority w:val="99"/>
    <w:rsid w:val="006E329D"/>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Helvetica" w:hAnsi="Helvetica" w:cs="Helvetica"/>
      <w:color w:val="000000"/>
      <w:sz w:val="22"/>
      <w:szCs w:val="22"/>
    </w:rPr>
  </w:style>
  <w:style w:type="paragraph" w:styleId="Tekstkomentarza">
    <w:name w:val="annotation text"/>
    <w:basedOn w:val="Normalny"/>
    <w:link w:val="TekstkomentarzaZnak"/>
    <w:uiPriority w:val="99"/>
    <w:semiHidden/>
    <w:rsid w:val="006E329D"/>
    <w:pPr>
      <w:spacing w:line="240" w:lineRule="auto"/>
    </w:pPr>
    <w:rPr>
      <w:sz w:val="20"/>
      <w:szCs w:val="20"/>
    </w:rPr>
  </w:style>
  <w:style w:type="character" w:customStyle="1" w:styleId="TekstkomentarzaZnak">
    <w:name w:val="Tekst komentarza Znak"/>
    <w:basedOn w:val="Domylnaczcionkaakapitu"/>
    <w:link w:val="Tekstkomentarza"/>
    <w:uiPriority w:val="99"/>
    <w:semiHidden/>
    <w:locked/>
    <w:rsid w:val="006E329D"/>
    <w:rPr>
      <w:rFonts w:ascii="Calibri" w:hAnsi="Calibri" w:cs="Calibri"/>
      <w:color w:val="000000"/>
      <w:u w:color="000000"/>
    </w:rPr>
  </w:style>
  <w:style w:type="character" w:styleId="Odwoaniedokomentarza">
    <w:name w:val="annotation reference"/>
    <w:basedOn w:val="Domylnaczcionkaakapitu"/>
    <w:uiPriority w:val="99"/>
    <w:semiHidden/>
    <w:rsid w:val="006E329D"/>
    <w:rPr>
      <w:rFonts w:cs="Times New Roman"/>
      <w:sz w:val="16"/>
      <w:szCs w:val="16"/>
    </w:rPr>
  </w:style>
  <w:style w:type="paragraph" w:styleId="Tekstdymka">
    <w:name w:val="Balloon Text"/>
    <w:basedOn w:val="Normalny"/>
    <w:link w:val="TekstdymkaZnak"/>
    <w:uiPriority w:val="99"/>
    <w:semiHidden/>
    <w:rsid w:val="00422AC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422AC5"/>
    <w:rPr>
      <w:rFonts w:ascii="Tahoma" w:hAnsi="Tahoma" w:cs="Tahoma"/>
      <w:color w:val="000000"/>
      <w:sz w:val="16"/>
      <w:szCs w:val="16"/>
      <w:u w:color="000000"/>
    </w:rPr>
  </w:style>
  <w:style w:type="paragraph" w:styleId="Tematkomentarza">
    <w:name w:val="annotation subject"/>
    <w:basedOn w:val="Tekstkomentarza"/>
    <w:next w:val="Tekstkomentarza"/>
    <w:link w:val="TematkomentarzaZnak"/>
    <w:uiPriority w:val="99"/>
    <w:semiHidden/>
    <w:rsid w:val="00825606"/>
    <w:rPr>
      <w:b/>
      <w:bCs/>
    </w:rPr>
  </w:style>
  <w:style w:type="character" w:customStyle="1" w:styleId="TematkomentarzaZnak">
    <w:name w:val="Temat komentarza Znak"/>
    <w:basedOn w:val="TekstkomentarzaZnak"/>
    <w:link w:val="Tematkomentarza"/>
    <w:uiPriority w:val="99"/>
    <w:semiHidden/>
    <w:locked/>
    <w:rsid w:val="00825606"/>
    <w:rPr>
      <w:rFonts w:ascii="Calibri" w:hAnsi="Calibri" w:cs="Calibri"/>
      <w:b/>
      <w:bCs/>
      <w:color w:val="000000"/>
      <w:u w:color="000000"/>
    </w:rPr>
  </w:style>
  <w:style w:type="paragraph" w:styleId="NormalnyWeb">
    <w:name w:val="Normal (Web)"/>
    <w:basedOn w:val="Normalny"/>
    <w:uiPriority w:val="99"/>
    <w:rsid w:val="00987FE2"/>
    <w:pPr>
      <w:pBdr>
        <w:top w:val="none" w:sz="0" w:space="0" w:color="auto"/>
        <w:left w:val="none" w:sz="0" w:space="0" w:color="auto"/>
        <w:bottom w:val="none" w:sz="0" w:space="0" w:color="auto"/>
        <w:right w:val="none" w:sz="0" w:space="0" w:color="auto"/>
        <w:bar w:val="none" w:sz="0" w:color="auto"/>
      </w:pBdr>
      <w:spacing w:before="100" w:beforeAutospacing="1" w:after="100" w:afterAutospacing="1" w:line="240" w:lineRule="auto"/>
    </w:pPr>
    <w:rPr>
      <w:rFonts w:ascii="Times New Roman" w:eastAsia="MS Mincho" w:hAnsi="Times New Roman" w:cs="Times New Roman"/>
      <w:color w:val="auto"/>
      <w:sz w:val="24"/>
      <w:szCs w:val="24"/>
      <w:lang w:eastAsia="ja-JP"/>
    </w:rPr>
  </w:style>
  <w:style w:type="character" w:styleId="Pogrubienie">
    <w:name w:val="Strong"/>
    <w:basedOn w:val="Domylnaczcionkaakapitu"/>
    <w:uiPriority w:val="99"/>
    <w:qFormat/>
    <w:locked/>
    <w:rsid w:val="00987FE2"/>
    <w:rPr>
      <w:rFonts w:cs="Times New Roman"/>
      <w:b/>
    </w:rPr>
  </w:style>
  <w:style w:type="character" w:customStyle="1" w:styleId="apple-converted-space">
    <w:name w:val="apple-converted-space"/>
    <w:basedOn w:val="Domylnaczcionkaakapitu"/>
    <w:uiPriority w:val="99"/>
    <w:rsid w:val="00987FE2"/>
    <w:rPr>
      <w:rFonts w:cs="Times New Roman"/>
    </w:rPr>
  </w:style>
  <w:style w:type="character" w:styleId="Odwoanieprzypisudolnego">
    <w:name w:val="footnote reference"/>
    <w:basedOn w:val="Domylnaczcionkaakapitu"/>
    <w:uiPriority w:val="99"/>
    <w:semiHidden/>
    <w:rsid w:val="00EA79FA"/>
    <w:rPr>
      <w:rFonts w:cs="Times New Roman"/>
      <w:vertAlign w:val="superscript"/>
    </w:rPr>
  </w:style>
  <w:style w:type="table" w:styleId="Tabela-Siatka">
    <w:name w:val="Table Grid"/>
    <w:basedOn w:val="Standardowy"/>
    <w:uiPriority w:val="99"/>
    <w:locked/>
    <w:rsid w:val="005B5A15"/>
    <w:pPr>
      <w:pBdr>
        <w:top w:val="none" w:sz="96" w:space="31" w:color="FFFFFF" w:frame="1"/>
        <w:left w:val="none" w:sz="96" w:space="31" w:color="FFFFFF" w:frame="1"/>
        <w:bottom w:val="none" w:sz="96" w:space="31" w:color="FFFFFF" w:frame="1"/>
        <w:right w:val="none" w:sz="96" w:space="31" w:color="FFFFFF" w:frame="1"/>
        <w:bar w:val="none" w:sz="0" w:color="000000"/>
      </w:pBd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wydatnienie">
    <w:name w:val="Emphasis"/>
    <w:basedOn w:val="Domylnaczcionkaakapitu"/>
    <w:uiPriority w:val="99"/>
    <w:qFormat/>
    <w:locked/>
    <w:rsid w:val="003A18CC"/>
    <w:rPr>
      <w:rFonts w:cs="Times New Roman"/>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640</Words>
  <Characters>3845</Characters>
  <Application>Microsoft Office Word</Application>
  <DocSecurity>0</DocSecurity>
  <Lines>32</Lines>
  <Paragraphs>8</Paragraphs>
  <ScaleCrop>false</ScaleCrop>
  <HeadingPairs>
    <vt:vector size="2" baseType="variant">
      <vt:variant>
        <vt:lpstr>Tytuł</vt:lpstr>
      </vt:variant>
      <vt:variant>
        <vt:i4>1</vt:i4>
      </vt:variant>
    </vt:vector>
  </HeadingPairs>
  <TitlesOfParts>
    <vt:vector size="1" baseType="lpstr">
      <vt:lpstr>Szanowna Pani,</vt:lpstr>
    </vt:vector>
  </TitlesOfParts>
  <Company>Microsoft</Company>
  <LinksUpToDate>false</LinksUpToDate>
  <CharactersWithSpaces>4477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Szanowna Pani,</dc:title>
  <dc:creator>Aleksandra Sołtysiak</dc:creator>
  <cp:lastModifiedBy>Sebastian Płatkowski</cp:lastModifiedBy>
  <cp:revision>3</cp:revision>
  <cp:lastPrinted>2016-08-17T14:22:00Z</cp:lastPrinted>
  <dcterms:created xsi:type="dcterms:W3CDTF">2016-08-26T08:53:00Z</dcterms:created>
  <dcterms:modified xsi:type="dcterms:W3CDTF">2016-08-26T08:57:00Z</dcterms:modified>
</cp:coreProperties>
</file>